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B275C4A" w14:textId="72370793" w:rsidR="00B47FDA" w:rsidRDefault="00B47FDA" w:rsidP="002D5E2D">
      <w:pPr>
        <w:pStyle w:val="Haupttitel"/>
        <w:spacing w:line="240" w:lineRule="auto"/>
      </w:pPr>
      <w:r>
        <w:t>Fiche d’information</w:t>
      </w:r>
      <w:r>
        <w:br/>
        <w:t>Orientation entrepreneuriale</w:t>
      </w:r>
    </w:p>
    <w:p w14:paraId="305E1506" w14:textId="77777777" w:rsidR="002D5E2D" w:rsidRPr="00B47FDA" w:rsidRDefault="002D5E2D" w:rsidP="002D5E2D"/>
    <w:p w14:paraId="63BF5B10" w14:textId="229421B9" w:rsidR="00B47FDA" w:rsidRPr="003970D2" w:rsidRDefault="00235B3D" w:rsidP="006B4DB7">
      <w:pPr>
        <w:pStyle w:val="berschrift1"/>
      </w:pPr>
      <w:r>
        <w:rPr>
          <w:noProof/>
        </w:rPr>
        <mc:AlternateContent>
          <mc:Choice Requires="wps">
            <w:drawing>
              <wp:anchor distT="0" distB="0" distL="114300" distR="114300" simplePos="0" relativeHeight="251659264" behindDoc="0" locked="0" layoutInCell="1" allowOverlap="1" wp14:anchorId="07087EE3" wp14:editId="198A44AE">
                <wp:simplePos x="0" y="0"/>
                <wp:positionH relativeFrom="column">
                  <wp:posOffset>3562350</wp:posOffset>
                </wp:positionH>
                <wp:positionV relativeFrom="paragraph">
                  <wp:posOffset>215114</wp:posOffset>
                </wp:positionV>
                <wp:extent cx="2423160" cy="2135505"/>
                <wp:effectExtent l="0" t="0" r="15240" b="17145"/>
                <wp:wrapThrough wrapText="bothSides">
                  <wp:wrapPolygon edited="0">
                    <wp:start x="0" y="0"/>
                    <wp:lineTo x="0" y="21581"/>
                    <wp:lineTo x="21566" y="21581"/>
                    <wp:lineTo x="21566" y="0"/>
                    <wp:lineTo x="0" y="0"/>
                  </wp:wrapPolygon>
                </wp:wrapThrough>
                <wp:docPr id="24917330" name="Textfeld 1"/>
                <wp:cNvGraphicFramePr/>
                <a:graphic xmlns:a="http://schemas.openxmlformats.org/drawingml/2006/main">
                  <a:graphicData uri="http://schemas.microsoft.com/office/word/2010/wordprocessingShape">
                    <wps:wsp>
                      <wps:cNvSpPr txBox="1"/>
                      <wps:spPr>
                        <a:xfrm>
                          <a:off x="0" y="0"/>
                          <a:ext cx="2423160" cy="2135505"/>
                        </a:xfrm>
                        <a:prstGeom prst="rect">
                          <a:avLst/>
                        </a:prstGeom>
                        <a:solidFill>
                          <a:schemeClr val="lt1"/>
                        </a:solidFill>
                        <a:ln w="6350">
                          <a:solidFill>
                            <a:prstClr val="black"/>
                          </a:solidFill>
                        </a:ln>
                      </wps:spPr>
                      <wps:txbx>
                        <w:txbxContent>
                          <w:p w14:paraId="1ABCF735" w14:textId="2A2CC586" w:rsidR="001C7109" w:rsidRPr="006B4DB7" w:rsidRDefault="001C7109" w:rsidP="006B4DB7">
                            <w:pPr>
                              <w:rPr>
                                <w:sz w:val="20"/>
                                <w:szCs w:val="20"/>
                              </w:rPr>
                            </w:pPr>
                            <w:r>
                              <w:rPr>
                                <w:sz w:val="20"/>
                              </w:rPr>
                              <w:t xml:space="preserve">L’évaluation de l’orientation entrepreneuriale dans le cadre du modèle de promotion des fédérations repose sur une extension d’un modèle d’OE établi, spécifique aux OBNL. Celle-ci a été développée dans le cadre des recherches sur les </w:t>
                            </w:r>
                            <w:r w:rsidR="00A60857">
                              <w:rPr>
                                <w:sz w:val="20"/>
                              </w:rPr>
                              <w:t>OBNL</w:t>
                            </w:r>
                            <w:r>
                              <w:rPr>
                                <w:sz w:val="20"/>
                              </w:rPr>
                              <w:t xml:space="preserve"> menées par l’Institut de gestion des associations (</w:t>
                            </w:r>
                            <w:hyperlink r:id="rId11" w:history="1">
                              <w:r>
                                <w:rPr>
                                  <w:rStyle w:val="Hyperlink"/>
                                  <w:sz w:val="20"/>
                                </w:rPr>
                                <w:t>VMI</w:t>
                              </w:r>
                            </w:hyperlink>
                            <w:r>
                              <w:rPr>
                                <w:sz w:val="20"/>
                              </w:rPr>
                              <w:t xml:space="preserve">) de l’Université de Fribourg et tient compte des exigences particulières des </w:t>
                            </w:r>
                            <w:r w:rsidR="00A60857">
                              <w:rPr>
                                <w:sz w:val="20"/>
                              </w:rPr>
                              <w:t>OBNL</w:t>
                            </w:r>
                            <w:r>
                              <w:rPr>
                                <w:sz w:val="20"/>
                              </w:rPr>
                              <w:t xml:space="preserve"> telles que les fédérations sportives, notamment l’importance du bénévolat, de la fidélisation des membres et du leadership participatif.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7087EE3" id="_x0000_t202" coordsize="21600,21600" o:spt="202" path="m,l,21600r21600,l21600,xe">
                <v:stroke joinstyle="miter"/>
                <v:path gradientshapeok="t" o:connecttype="rect"/>
              </v:shapetype>
              <v:shape id="Textfeld 1" o:spid="_x0000_s1026" type="#_x0000_t202" style="position:absolute;left:0;text-align:left;margin-left:280.5pt;margin-top:16.95pt;width:190.8pt;height:168.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" fillcolor="white [3201]" strokeweight=".5pt">
                <v:textbox>
                  <w:txbxContent>
                    <w:p w14:paraId="1ABCF735" w14:textId="2A2CC586" w:rsidR="001C7109" w:rsidRPr="006B4DB7" w:rsidRDefault="001C7109" w:rsidP="006B4DB7">
                      <w:pPr>
                        <w:rPr>
                          <w:sz w:val="20"/>
                          <w:szCs w:val="20"/>
                        </w:rPr>
                      </w:pPr>
                      <w:r>
                        <w:rPr>
                          <w:sz w:val="20"/>
                        </w:rPr>
                        <w:t xml:space="preserve">L’évaluation de l’orientation entrepreneuriale dans le cadre du modèle de promotion des fédérations repose sur une extension d’un modèle d’OE établi, spécifique aux OBNL. Celle-ci a été développée dans le cadre des recherches sur les </w:t>
                      </w:r>
                      <w:r w:rsidR="00A60857">
                        <w:rPr>
                          <w:sz w:val="20"/>
                        </w:rPr>
                        <w:t>OBNL</w:t>
                      </w:r>
                      <w:r>
                        <w:rPr>
                          <w:sz w:val="20"/>
                        </w:rPr>
                        <w:t xml:space="preserve"> menées par l’Institut de gestion des associations (</w:t>
                      </w:r>
                      <w:hyperlink r:id="rId12" w:history="1">
                        <w:r>
                          <w:rPr>
                            <w:rStyle w:val="Hyperlink"/>
                            <w:sz w:val="20"/>
                          </w:rPr>
                          <w:t>VMI</w:t>
                        </w:r>
                      </w:hyperlink>
                      <w:r>
                        <w:rPr>
                          <w:sz w:val="20"/>
                        </w:rPr>
                        <w:t xml:space="preserve">) de l’Université de Fribourg et tient compte des exigences particulières des </w:t>
                      </w:r>
                      <w:r w:rsidR="00A60857">
                        <w:rPr>
                          <w:sz w:val="20"/>
                        </w:rPr>
                        <w:t>OBNL</w:t>
                      </w:r>
                      <w:r>
                        <w:rPr>
                          <w:sz w:val="20"/>
                        </w:rPr>
                        <w:t xml:space="preserve"> telles que les fédérations sportives, notamment l’importance du bénévolat, de la fidélisation des membres et du leadership participatif.</w:t>
                      </w:r>
                    </w:p>
                  </w:txbxContent>
                </v:textbox>
                <w10:wrap type="through"/>
              </v:shape>
            </w:pict>
          </mc:Fallback>
        </mc:AlternateContent>
      </w:r>
      <w:r w:rsidR="00B47FDA">
        <w:t>Qu’est-ce que l’orientation entrepreneuriale?</w:t>
      </w:r>
    </w:p>
    <w:p w14:paraId="3F156667" w14:textId="487A9ADE" w:rsidR="00B47FDA" w:rsidRPr="00B47FDA" w:rsidRDefault="006B4DB7" w:rsidP="006B4DB7">
      <w:r>
        <w:t>L’orientation entrepreneuriale (OE) décrit l’orientation stratégique d’une organisation qui va au-delà de la logique administrative classique. Elle favorise la pensée et l’action entrepreneuriales dans tous les domaines, qu’il s’agisse d’entreprises à but lucratif (EBL) ou d’organisations à but non lucratif (OBNL). Dans le contexte des OBNL, dont font également partie les fédérations sportives, l’OE ne signifie pas en premier lieu la croissance économique, mais la capacité à identifier les opportunités, à agir de manière innovante, à mobiliser des ressources et à impliquer les membres.</w:t>
      </w:r>
    </w:p>
    <w:p w14:paraId="33066558" w14:textId="4C849436" w:rsidR="00B47FDA" w:rsidRDefault="00B47FDA" w:rsidP="006B4DB7">
      <w:pPr>
        <w:pStyle w:val="berschrift1"/>
      </w:pPr>
      <w:r>
        <w:t xml:space="preserve">Dimensions de l’orientation entrepreneuriale </w:t>
      </w:r>
    </w:p>
    <w:p w14:paraId="176AB857" w14:textId="173B1E7D" w:rsidR="00B47FDA" w:rsidRPr="003970D2" w:rsidRDefault="00B47FDA" w:rsidP="006B4DB7">
      <w:r>
        <w:t>Dans la recherche classique, l’OE comprend trois dimensions majeures: proactivité, innovation et prise de risque. Ces dimensions sont considérées comme universelles, mais elles ont été élargies à des contextes spécifiques.</w:t>
      </w:r>
    </w:p>
    <w:p w14:paraId="742E8D23" w14:textId="0302826D" w:rsidR="00B47FDA" w:rsidRDefault="00B47FDA" w:rsidP="006B4DB7">
      <w:r>
        <w:t xml:space="preserve">Deux dimensions supplémentaires ont été ajoutées pour les organisations à but non lucratif telles que les fédérations sportives: l’autonomie des </w:t>
      </w:r>
      <w:proofErr w:type="spellStart"/>
      <w:r>
        <w:t>collaborateur·rice·s</w:t>
      </w:r>
      <w:proofErr w:type="spellEnd"/>
      <w:r>
        <w:t xml:space="preserve"> et la mobilisation collective. Ces deux éléments forment une quatrième dimension majeure: l’activité.</w:t>
      </w:r>
    </w:p>
    <w:p w14:paraId="332AEF9B" w14:textId="77777777" w:rsidR="00B47FDA" w:rsidRDefault="00B47FDA" w:rsidP="006B4DB7">
      <w:pPr>
        <w:pStyle w:val="berschrift2"/>
        <w:sectPr w:rsidR="00B47FDA" w:rsidSect="000E064D">
          <w:headerReference w:type="default" r:id="rId13"/>
          <w:footerReference w:type="default" r:id="rId14"/>
          <w:type w:val="continuous"/>
          <w:pgSz w:w="11906" w:h="16838" w:code="9"/>
          <w:pgMar w:top="1843" w:right="1418" w:bottom="1134" w:left="1418" w:header="709" w:footer="709" w:gutter="0"/>
          <w:cols w:space="708"/>
          <w:docGrid w:linePitch="360"/>
        </w:sectPr>
      </w:pPr>
    </w:p>
    <w:p w14:paraId="38E96603" w14:textId="14AD740B" w:rsidR="00B47FDA" w:rsidRPr="003970D2" w:rsidRDefault="00B47FDA" w:rsidP="006B4DB7">
      <w:pPr>
        <w:pStyle w:val="berschrift2"/>
      </w:pPr>
      <w:r>
        <w:t xml:space="preserve">Proactivité </w:t>
      </w:r>
    </w:p>
    <w:p w14:paraId="6CFB42F3" w14:textId="75005C79" w:rsidR="00B47FDA" w:rsidRPr="003970D2" w:rsidRDefault="00B47FDA" w:rsidP="006B4DB7">
      <w:r>
        <w:t>La proactivité se manifeste lorsque les organisations ne se contentent pas de réagir aux changements, mais les anticipent activement. Elles identifient les tendances à un stade précoce, planifient de manière stratégique et se positionnent en tant qu’actrices plutôt qu’en simples gestionnaires.</w:t>
      </w:r>
    </w:p>
    <w:p w14:paraId="7E445783" w14:textId="3F50D0C6" w:rsidR="00B47FDA" w:rsidRPr="003970D2" w:rsidRDefault="00B47FDA" w:rsidP="006B4DB7">
      <w:pPr>
        <w:pStyle w:val="berschrift2"/>
      </w:pPr>
      <w:r>
        <w:t xml:space="preserve">Innovation </w:t>
      </w:r>
    </w:p>
    <w:p w14:paraId="1EDE4AE2" w14:textId="3BF1F44F" w:rsidR="00B47FDA" w:rsidRPr="003970D2" w:rsidRDefault="00B47FDA" w:rsidP="006B4DB7">
      <w:r>
        <w:t>L’innovation décrit la capacité à développer et à mettre en œuvre des idées créatives. Les organisations à forte capacité d’innovation favorisent une culture de l’amélioration, expérimentent de nouvelles choses et apprennent de leurs échecs.</w:t>
      </w:r>
    </w:p>
    <w:p w14:paraId="50EB712E" w14:textId="0746E863" w:rsidR="00B47FDA" w:rsidRPr="003970D2" w:rsidRDefault="00B47FDA" w:rsidP="006B4DB7">
      <w:pPr>
        <w:pStyle w:val="berschrift2"/>
      </w:pPr>
      <w:r>
        <w:t xml:space="preserve">Prise de risque </w:t>
      </w:r>
    </w:p>
    <w:p w14:paraId="7361CA93" w14:textId="42A77F4B" w:rsidR="00B47FDA" w:rsidRPr="003970D2" w:rsidRDefault="00B47FDA" w:rsidP="006B4DB7">
      <w:r>
        <w:t>La prise de risque signifie que les organisations sont prêtes, pour saisir des opportunités, à accepter la part d’incertitude. Elles prennent des décisions même en cas d’informations incomplètes et considèrent les échecs comme des occasions d’apprendre.</w:t>
      </w:r>
    </w:p>
    <w:p w14:paraId="09A55394" w14:textId="029518BD" w:rsidR="00B47FDA" w:rsidRPr="003970D2" w:rsidRDefault="00B47FDA" w:rsidP="006B4DB7">
      <w:pPr>
        <w:pStyle w:val="berschrift2"/>
      </w:pPr>
      <w:r>
        <w:br w:type="column"/>
      </w:r>
      <w:r>
        <w:t xml:space="preserve">Autonomie des </w:t>
      </w:r>
      <w:proofErr w:type="spellStart"/>
      <w:r>
        <w:t>collaborateur·rice·s</w:t>
      </w:r>
      <w:proofErr w:type="spellEnd"/>
      <w:r>
        <w:t xml:space="preserve"> </w:t>
      </w:r>
    </w:p>
    <w:p w14:paraId="26841714" w14:textId="77777777" w:rsidR="00B47FDA" w:rsidRPr="003970D2" w:rsidRDefault="00B47FDA" w:rsidP="006B4DB7">
      <w:r>
        <w:t xml:space="preserve">L’autonomie des </w:t>
      </w:r>
      <w:proofErr w:type="spellStart"/>
      <w:r>
        <w:t>collaborateur·rice·s</w:t>
      </w:r>
      <w:proofErr w:type="spellEnd"/>
      <w:r>
        <w:t xml:space="preserve"> désigne la capacité à déléguer des responsabilités et à créer des marges de manœuvre. Les bénévoles et les </w:t>
      </w:r>
      <w:proofErr w:type="spellStart"/>
      <w:r>
        <w:t>collaborateur·rice·s</w:t>
      </w:r>
      <w:proofErr w:type="spellEnd"/>
      <w:r>
        <w:t xml:space="preserve"> doivent pouvoir agir de manière autonome, sans être </w:t>
      </w:r>
      <w:proofErr w:type="spellStart"/>
      <w:r>
        <w:t>limité·e·s</w:t>
      </w:r>
      <w:proofErr w:type="spellEnd"/>
      <w:r>
        <w:t xml:space="preserve"> par des structures rigides.</w:t>
      </w:r>
    </w:p>
    <w:p w14:paraId="34762A97" w14:textId="125249F8" w:rsidR="00B47FDA" w:rsidRPr="003970D2" w:rsidRDefault="00B47FDA" w:rsidP="006B4DB7">
      <w:pPr>
        <w:pStyle w:val="berschrift2"/>
      </w:pPr>
      <w:r>
        <w:t xml:space="preserve">Mobilisation collective </w:t>
      </w:r>
    </w:p>
    <w:p w14:paraId="344CB1E8" w14:textId="79EC75AD" w:rsidR="00B47FDA" w:rsidRPr="003970D2" w:rsidRDefault="00B47FDA" w:rsidP="006B4DB7">
      <w:r>
        <w:t>La mobilisation collective décrit la capacité à rassembler les personnes et à les motiver collectivement. Une vision forte, des valeurs partagées et des processus décisionnels participatifs renforcent l’identification à l’organisation.</w:t>
      </w:r>
    </w:p>
    <w:p w14:paraId="1136E727" w14:textId="77777777" w:rsidR="00B47FDA" w:rsidRDefault="00B47FDA" w:rsidP="006B4DB7">
      <w:pPr>
        <w:pStyle w:val="berschrift1"/>
        <w:sectPr w:rsidR="00B47FDA" w:rsidSect="00B47FDA">
          <w:type w:val="continuous"/>
          <w:pgSz w:w="11906" w:h="16838" w:code="9"/>
          <w:pgMar w:top="1418" w:right="1418" w:bottom="1134" w:left="1418" w:header="709" w:footer="709" w:gutter="0"/>
          <w:cols w:num="2" w:space="708"/>
          <w:docGrid w:linePitch="360"/>
        </w:sectPr>
      </w:pPr>
    </w:p>
    <w:p w14:paraId="7D51DCF5" w14:textId="507B8B61" w:rsidR="00B47FDA" w:rsidRPr="003970D2" w:rsidRDefault="00B47FDA" w:rsidP="006B4DB7">
      <w:pPr>
        <w:pStyle w:val="berschrift1"/>
      </w:pPr>
      <w:r>
        <w:lastRenderedPageBreak/>
        <w:t>Collecte des données et évaluation pour la promotion des fédérations (2027)</w:t>
      </w:r>
    </w:p>
    <w:p w14:paraId="1A390FB5" w14:textId="7F6B62BB" w:rsidR="0077606C" w:rsidRDefault="00B47FDA" w:rsidP="006B4DB7">
      <w:r>
        <w:t xml:space="preserve">L’orientation entrepreneuriale est évaluée au moyen d’une auto-évaluation dans cinq domaines sur une échelle de 1 à 5, complétée par des exemples issus du travail de la fédération. Les dimensions Proactivité, Innovation et Prise de risque sont regroupées sous l’intitulé «Orientation vers l’avenir», les dimensions Autonomie des </w:t>
      </w:r>
      <w:proofErr w:type="spellStart"/>
      <w:r>
        <w:t>collaborateur·rice·s</w:t>
      </w:r>
      <w:proofErr w:type="spellEnd"/>
      <w:r>
        <w:t xml:space="preserve"> et Mobilisation collective le sont sous l’intitulé «Activation». Le soutien aux fédérations pour le sport de performance, le sport de masse, l’éthique et la direction de la fédération évalue également la fédération sur la base de son expérience (perspective externe). À l’aide d’une méthode statistique (</w:t>
      </w:r>
      <w:proofErr w:type="spellStart"/>
      <w:r>
        <w:t>Bayesian</w:t>
      </w:r>
      <w:proofErr w:type="spellEnd"/>
      <w:r>
        <w:t xml:space="preserve"> </w:t>
      </w:r>
      <w:proofErr w:type="spellStart"/>
      <w:r>
        <w:t>Shrinkage</w:t>
      </w:r>
      <w:proofErr w:type="spellEnd"/>
      <w:r>
        <w:t xml:space="preserve">), la perspective externe et l’auto-évaluation sont combinées pour obtenir une valeur globale. </w:t>
      </w:r>
    </w:p>
    <w:p w14:paraId="1B2833EB" w14:textId="19D48AAA" w:rsidR="0077606C" w:rsidRPr="003970D2" w:rsidRDefault="0077606C" w:rsidP="006B4DB7"/>
    <w:p w14:paraId="5D6CAABC" w14:textId="4BDD0834" w:rsidR="00095949" w:rsidRPr="0077606C" w:rsidRDefault="006B4DB7" w:rsidP="006B4DB7">
      <w:pPr>
        <w:pStyle w:val="berschrift1"/>
        <w:numPr>
          <w:ilvl w:val="0"/>
          <w:numId w:val="0"/>
        </w:numPr>
        <w:ind w:left="432" w:hanging="432"/>
      </w:pPr>
      <w:r>
        <w:rPr>
          <w:noProof/>
        </w:rPr>
        <mc:AlternateContent>
          <mc:Choice Requires="wps">
            <w:drawing>
              <wp:anchor distT="0" distB="0" distL="114300" distR="114300" simplePos="0" relativeHeight="251660288" behindDoc="0" locked="0" layoutInCell="1" allowOverlap="1" wp14:anchorId="3AEDB9C2" wp14:editId="71677D40">
                <wp:simplePos x="0" y="0"/>
                <wp:positionH relativeFrom="margin">
                  <wp:align>left</wp:align>
                </wp:positionH>
                <wp:positionV relativeFrom="paragraph">
                  <wp:posOffset>17145</wp:posOffset>
                </wp:positionV>
                <wp:extent cx="5745480" cy="2138680"/>
                <wp:effectExtent l="0" t="0" r="26670" b="13970"/>
                <wp:wrapNone/>
                <wp:docPr id="1612879522" name="Textfeld 2"/>
                <wp:cNvGraphicFramePr/>
                <a:graphic xmlns:a="http://schemas.openxmlformats.org/drawingml/2006/main">
                  <a:graphicData uri="http://schemas.microsoft.com/office/word/2010/wordprocessingShape">
                    <wps:wsp>
                      <wps:cNvSpPr txBox="1"/>
                      <wps:spPr>
                        <a:xfrm>
                          <a:off x="0" y="0"/>
                          <a:ext cx="5745480" cy="2138680"/>
                        </a:xfrm>
                        <a:prstGeom prst="rect">
                          <a:avLst/>
                        </a:prstGeom>
                        <a:solidFill>
                          <a:schemeClr val="lt1"/>
                        </a:solidFill>
                        <a:ln w="6350">
                          <a:solidFill>
                            <a:prstClr val="black"/>
                          </a:solidFill>
                        </a:ln>
                      </wps:spPr>
                      <wps:txbx>
                        <w:txbxContent>
                          <w:p w14:paraId="6D8AEF11" w14:textId="77777777" w:rsidR="00831741" w:rsidRPr="006B4DB7" w:rsidRDefault="00831741" w:rsidP="006B4DB7">
                            <w:pPr>
                              <w:rPr>
                                <w:b/>
                                <w:bCs/>
                              </w:rPr>
                            </w:pPr>
                            <w:r>
                              <w:rPr>
                                <w:b/>
                              </w:rPr>
                              <w:t>Méthode statistique</w:t>
                            </w:r>
                          </w:p>
                          <w:p w14:paraId="13E628DE" w14:textId="60524FDB" w:rsidR="00831741" w:rsidRPr="000E064D" w:rsidRDefault="00831741" w:rsidP="006B4DB7">
                            <w:r>
                              <w:t xml:space="preserve">Les points attribués reposent sur une valeur commune qui combine une perspective interne et externe. La méthode statistique utilisée à cet effet s’appelle </w:t>
                            </w:r>
                            <w:proofErr w:type="spellStart"/>
                            <w:r>
                              <w:rPr>
                                <w:b/>
                              </w:rPr>
                              <w:t>Bayesian</w:t>
                            </w:r>
                            <w:proofErr w:type="spellEnd"/>
                            <w:r>
                              <w:rPr>
                                <w:b/>
                              </w:rPr>
                              <w:t xml:space="preserve"> </w:t>
                            </w:r>
                            <w:proofErr w:type="spellStart"/>
                            <w:r>
                              <w:rPr>
                                <w:b/>
                              </w:rPr>
                              <w:t>Shrinkage</w:t>
                            </w:r>
                            <w:proofErr w:type="spellEnd"/>
                            <w:r>
                              <w:t>. Celle-ci combine l’auto-évaluation de la fédération avec la perspective comparative externe. L’auto-évaluation n’est en principe pas remise en question et constitue la base de l’évaluation. Toutefois, comme la vision interne ne dispose d’aucun cadre de référence externe, son poids dans le résultat est ajusté en fonction de l’écart par rapport à la vision externe: plus l’auto-évaluation diffère, plus la perspective externe influence le classement final. La perspective externe ne fournit aucune indication sur l’exactitude de l’auto-évaluation, mais sert exclusivement de cadre de comparaison et de référence afin de classer les résultats de manière cohérente entre toutes les fédérations et tous les audits. Si les perspectives interne et externe sont proches, le résultat reste pratiquement identique à l’auto-évaluation de la fédération.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EDB9C2" id="Textfeld 2" o:spid="_x0000_s1027" type="#_x0000_t202" style="position:absolute;left:0;text-align:left;margin-left:0;margin-top:1.35pt;width:452.4pt;height:168.4pt;z-index:2516602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" fillcolor="white [3201]" strokeweight=".5pt">
                <v:textbox>
                  <w:txbxContent>
                    <w:p w14:paraId="6D8AEF11" w14:textId="77777777" w:rsidR="00831741" w:rsidRPr="006B4DB7" w:rsidRDefault="00831741" w:rsidP="006B4DB7">
                      <w:pPr>
                        <w:rPr>
                          <w:b/>
                          <w:bCs/>
                        </w:rPr>
                      </w:pPr>
                      <w:r>
                        <w:rPr>
                          <w:b/>
                        </w:rPr>
                        <w:t>Méthode statistique</w:t>
                      </w:r>
                    </w:p>
                    <w:p w14:paraId="13E628DE" w14:textId="60524FDB" w:rsidR="00831741" w:rsidRPr="000E064D" w:rsidRDefault="00831741" w:rsidP="006B4DB7">
                      <w:r>
                        <w:t xml:space="preserve">Les points attribués reposent sur une valeur commune qui combine une perspective interne et externe. La méthode statistique utilisée à cet effet s’appelle </w:t>
                      </w:r>
                      <w:proofErr w:type="spellStart"/>
                      <w:r>
                        <w:rPr>
                          <w:b/>
                        </w:rPr>
                        <w:t>Bayesian</w:t>
                      </w:r>
                      <w:proofErr w:type="spellEnd"/>
                      <w:r>
                        <w:rPr>
                          <w:b/>
                        </w:rPr>
                        <w:t xml:space="preserve"> </w:t>
                      </w:r>
                      <w:proofErr w:type="spellStart"/>
                      <w:r>
                        <w:rPr>
                          <w:b/>
                        </w:rPr>
                        <w:t>Shrinkage</w:t>
                      </w:r>
                      <w:proofErr w:type="spellEnd"/>
                      <w:r>
                        <w:t>. Celle-ci combine l’auto-évaluation de la fédération avec la perspective comparative externe. L’auto-évaluation n’est en principe pas remise en question et constitue la base de l’évaluation. Toutefois, comme la vision interne ne dispose d’aucun cadre de référence externe, son poids dans le résultat est ajusté en fonction de l’écart par rapport à la vision externe: plus l’auto-évaluation diffère, plus la perspective externe influence le classement final. La perspective externe ne fournit aucune indication sur l’exactitude de l’auto-évaluation, mais sert exclusivement de cadre de comparaison et de référence afin de classer les résultats de manière cohérente entre toutes les fédérations et tous les audits. Si les perspectives interne et externe sont proches, le résultat reste pratiquement identique à l’auto-évaluation de la fédération.</w:t>
                      </w:r>
                    </w:p>
                  </w:txbxContent>
                </v:textbox>
                <w10:wrap anchorx="margin"/>
              </v:shape>
            </w:pict>
          </mc:Fallback>
        </mc:AlternateContent>
      </w:r>
    </w:p>
    <w:sectPr w:rsidR="00095949" w:rsidRPr="0077606C" w:rsidSect="002D5E2D">
      <w:type w:val="continuous"/>
      <w:pgSz w:w="11906" w:h="16838" w:code="9"/>
      <w:pgMar w:top="2410"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5DA26B" w14:textId="77777777" w:rsidR="009046D2" w:rsidRDefault="009046D2" w:rsidP="006B4DB7">
      <w:r>
        <w:separator/>
      </w:r>
    </w:p>
  </w:endnote>
  <w:endnote w:type="continuationSeparator" w:id="0">
    <w:p w14:paraId="55FC027A" w14:textId="77777777" w:rsidR="009046D2" w:rsidRDefault="009046D2" w:rsidP="006B4D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FagoPro">
    <w:altName w:val="Calibri"/>
    <w:panose1 w:val="00000000000000000000"/>
    <w:charset w:val="00"/>
    <w:family w:val="modern"/>
    <w:notTrueType/>
    <w:pitch w:val="variable"/>
    <w:sig w:usb0="A00000FF" w:usb1="4000387B" w:usb2="00000000" w:usb3="00000000" w:csb0="00000093"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ago Pro">
    <w:altName w:val="Calibri"/>
    <w:panose1 w:val="00000000000000000000"/>
    <w:charset w:val="00"/>
    <w:family w:val="modern"/>
    <w:notTrueType/>
    <w:pitch w:val="variable"/>
    <w:sig w:usb0="A00000FF" w:usb1="4000387B" w:usb2="00000000" w:usb3="00000000" w:csb0="00000093" w:csb1="00000000"/>
  </w:font>
  <w:font w:name="Tahoma">
    <w:panose1 w:val="020B0604030504040204"/>
    <w:charset w:val="00"/>
    <w:family w:val="swiss"/>
    <w:pitch w:val="variable"/>
    <w:sig w:usb0="E1002EFF" w:usb1="C000605B" w:usb2="00000029" w:usb3="00000000" w:csb0="000101FF" w:csb1="00000000"/>
  </w:font>
  <w:font w:name="Times">
    <w:panose1 w:val="02020603050405020304"/>
    <w:charset w:val="00"/>
    <w:family w:val="roman"/>
    <w:pitch w:val="variable"/>
    <w:sig w:usb0="E0002AFF" w:usb1="C0007841"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A2C064" w14:textId="029818AB" w:rsidR="00B47FDA" w:rsidRPr="00074933" w:rsidRDefault="00B47FDA" w:rsidP="00074933">
    <w:pPr>
      <w:jc w:val="right"/>
      <w:rPr>
        <w:sz w:val="16"/>
        <w:szCs w:val="20"/>
      </w:rPr>
    </w:pPr>
    <w:r>
      <w:rPr>
        <w:sz w:val="16"/>
      </w:rPr>
      <w:t>Version: janvier 2026</w:t>
    </w:r>
  </w:p>
  <w:p w14:paraId="0F0F594C" w14:textId="77777777" w:rsidR="00B47FDA" w:rsidRDefault="00B47FDA" w:rsidP="006B4DB7">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B03974" w14:textId="77777777" w:rsidR="009046D2" w:rsidRDefault="009046D2" w:rsidP="006B4DB7">
      <w:r>
        <w:separator/>
      </w:r>
    </w:p>
  </w:footnote>
  <w:footnote w:type="continuationSeparator" w:id="0">
    <w:p w14:paraId="030B62BD" w14:textId="77777777" w:rsidR="009046D2" w:rsidRDefault="009046D2" w:rsidP="006B4D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D80D3B" w14:textId="77777777" w:rsidR="006F58D0" w:rsidRDefault="006F58D0" w:rsidP="006B4DB7">
    <w:pPr>
      <w:pStyle w:val="Kopfzeile"/>
    </w:pPr>
    <w:r>
      <w:rPr>
        <w:noProof/>
      </w:rPr>
      <w:drawing>
        <wp:anchor distT="0" distB="0" distL="114300" distR="114300" simplePos="0" relativeHeight="251658240" behindDoc="0" locked="0" layoutInCell="1" allowOverlap="1" wp14:anchorId="55C9352C" wp14:editId="2309C63B">
          <wp:simplePos x="0" y="0"/>
          <wp:positionH relativeFrom="column">
            <wp:posOffset>4682970</wp:posOffset>
          </wp:positionH>
          <wp:positionV relativeFrom="paragraph">
            <wp:posOffset>-221615</wp:posOffset>
          </wp:positionV>
          <wp:extent cx="1425249" cy="650748"/>
          <wp:effectExtent l="0" t="0" r="3810" b="0"/>
          <wp:wrapNone/>
          <wp:docPr id="683715167" name="Grafik 683715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O_01_01_cmyk_100mm_300dpi_new_AI_small.jpg"/>
                  <pic:cNvPicPr/>
                </pic:nvPicPr>
                <pic:blipFill>
                  <a:blip r:embed="rId1">
                    <a:extLst>
                      <a:ext uri="{28A0092B-C50C-407E-A947-70E740481C1C}">
                        <a14:useLocalDpi xmlns:a14="http://schemas.microsoft.com/office/drawing/2010/main" val="0"/>
                      </a:ext>
                    </a:extLst>
                  </a:blip>
                  <a:stretch>
                    <a:fillRect/>
                  </a:stretch>
                </pic:blipFill>
                <pic:spPr>
                  <a:xfrm>
                    <a:off x="0" y="0"/>
                    <a:ext cx="1425249" cy="650748"/>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0"/>
    <w:multiLevelType w:val="singleLevel"/>
    <w:tmpl w:val="2BB29026"/>
    <w:lvl w:ilvl="0">
      <w:start w:val="1"/>
      <w:numFmt w:val="bullet"/>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8660748C"/>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B652E46C"/>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84A4F17C"/>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4086DA98"/>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2DD0CD1"/>
    <w:multiLevelType w:val="hybridMultilevel"/>
    <w:tmpl w:val="444C7ECC"/>
    <w:lvl w:ilvl="0" w:tplc="0807000F">
      <w:start w:val="1"/>
      <w:numFmt w:val="decimal"/>
      <w:lvlText w:val="%1."/>
      <w:lvlJc w:val="left"/>
      <w:pPr>
        <w:ind w:left="720" w:hanging="360"/>
      </w:pPr>
    </w:lvl>
    <w:lvl w:ilvl="1" w:tplc="08070019">
      <w:start w:val="1"/>
      <w:numFmt w:val="lowerLetter"/>
      <w:lvlText w:val="%2."/>
      <w:lvlJc w:val="left"/>
      <w:pPr>
        <w:ind w:left="1440" w:hanging="360"/>
      </w:pPr>
    </w:lvl>
    <w:lvl w:ilvl="2" w:tplc="0807001B">
      <w:start w:val="1"/>
      <w:numFmt w:val="lowerRoman"/>
      <w:lvlText w:val="%3."/>
      <w:lvlJc w:val="right"/>
      <w:pPr>
        <w:ind w:left="2160" w:hanging="180"/>
      </w:pPr>
    </w:lvl>
    <w:lvl w:ilvl="3" w:tplc="0807000F">
      <w:start w:val="1"/>
      <w:numFmt w:val="decimal"/>
      <w:lvlText w:val="%4."/>
      <w:lvlJc w:val="left"/>
      <w:pPr>
        <w:ind w:left="2880" w:hanging="360"/>
      </w:pPr>
    </w:lvl>
    <w:lvl w:ilvl="4" w:tplc="08070019">
      <w:start w:val="1"/>
      <w:numFmt w:val="lowerLetter"/>
      <w:lvlText w:val="%5."/>
      <w:lvlJc w:val="left"/>
      <w:pPr>
        <w:ind w:left="3600" w:hanging="360"/>
      </w:pPr>
    </w:lvl>
    <w:lvl w:ilvl="5" w:tplc="0807001B">
      <w:start w:val="1"/>
      <w:numFmt w:val="lowerRoman"/>
      <w:lvlText w:val="%6."/>
      <w:lvlJc w:val="right"/>
      <w:pPr>
        <w:ind w:left="4320" w:hanging="180"/>
      </w:pPr>
    </w:lvl>
    <w:lvl w:ilvl="6" w:tplc="0807000F">
      <w:start w:val="1"/>
      <w:numFmt w:val="decimal"/>
      <w:lvlText w:val="%7."/>
      <w:lvlJc w:val="left"/>
      <w:pPr>
        <w:ind w:left="5040" w:hanging="360"/>
      </w:pPr>
    </w:lvl>
    <w:lvl w:ilvl="7" w:tplc="08070019">
      <w:start w:val="1"/>
      <w:numFmt w:val="lowerLetter"/>
      <w:lvlText w:val="%8."/>
      <w:lvlJc w:val="left"/>
      <w:pPr>
        <w:ind w:left="5760" w:hanging="360"/>
      </w:pPr>
    </w:lvl>
    <w:lvl w:ilvl="8" w:tplc="0807001B">
      <w:start w:val="1"/>
      <w:numFmt w:val="lowerRoman"/>
      <w:lvlText w:val="%9."/>
      <w:lvlJc w:val="right"/>
      <w:pPr>
        <w:ind w:left="6480" w:hanging="180"/>
      </w:pPr>
    </w:lvl>
  </w:abstractNum>
  <w:abstractNum w:abstractNumId="6" w15:restartNumberingAfterBreak="0">
    <w:nsid w:val="0BBC659B"/>
    <w:multiLevelType w:val="multilevel"/>
    <w:tmpl w:val="46E657AC"/>
    <w:lvl w:ilvl="0">
      <w:start w:val="1"/>
      <w:numFmt w:val="decimal"/>
      <w:lvlText w:val="%1"/>
      <w:lvlJc w:val="left"/>
      <w:pPr>
        <w:tabs>
          <w:tab w:val="num" w:pos="432"/>
        </w:tabs>
        <w:ind w:left="432" w:hanging="432"/>
      </w:pPr>
      <w:rPr>
        <w:rFonts w:hint="default"/>
      </w:rPr>
    </w:lvl>
    <w:lvl w:ilvl="1">
      <w:start w:val="1"/>
      <w:numFmt w:val="decimal"/>
      <w:lvlText w:val="%1.%2"/>
      <w:lvlJc w:val="left"/>
      <w:pPr>
        <w:tabs>
          <w:tab w:val="num" w:pos="1002"/>
        </w:tabs>
        <w:ind w:left="1002" w:hanging="576"/>
      </w:pPr>
      <w:rPr>
        <w:rFonts w:ascii="FagoPro" w:hAnsi="FagoPro" w:hint="default"/>
        <w:sz w:val="2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109856FB"/>
    <w:multiLevelType w:val="multilevel"/>
    <w:tmpl w:val="283618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A3463A9"/>
    <w:multiLevelType w:val="hybridMultilevel"/>
    <w:tmpl w:val="6278FFAC"/>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9" w15:restartNumberingAfterBreak="0">
    <w:nsid w:val="20465D77"/>
    <w:multiLevelType w:val="hybridMultilevel"/>
    <w:tmpl w:val="F1B2C84E"/>
    <w:lvl w:ilvl="0" w:tplc="0407000D">
      <w:start w:val="1"/>
      <w:numFmt w:val="bullet"/>
      <w:lvlText w:val=""/>
      <w:lvlJc w:val="left"/>
      <w:pPr>
        <w:ind w:left="720" w:hanging="360"/>
      </w:pPr>
      <w:rPr>
        <w:rFonts w:ascii="Wingdings" w:hAnsi="Wingdings"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268150D9"/>
    <w:multiLevelType w:val="multilevel"/>
    <w:tmpl w:val="A76A0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2E135AB2"/>
    <w:multiLevelType w:val="multilevel"/>
    <w:tmpl w:val="7606306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4B19421E"/>
    <w:multiLevelType w:val="multilevel"/>
    <w:tmpl w:val="6A465A1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57314309"/>
    <w:multiLevelType w:val="multilevel"/>
    <w:tmpl w:val="D292A1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5ABF2687"/>
    <w:multiLevelType w:val="multilevel"/>
    <w:tmpl w:val="7020200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62A6473F"/>
    <w:multiLevelType w:val="multilevel"/>
    <w:tmpl w:val="2A52E91A"/>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16" w15:restartNumberingAfterBreak="0">
    <w:nsid w:val="632F3ADC"/>
    <w:multiLevelType w:val="multilevel"/>
    <w:tmpl w:val="94C84B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638D626E"/>
    <w:multiLevelType w:val="multilevel"/>
    <w:tmpl w:val="D020FEB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76AA3B21"/>
    <w:multiLevelType w:val="hybridMultilevel"/>
    <w:tmpl w:val="29422D54"/>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num w:numId="1" w16cid:durableId="447743324">
    <w:abstractNumId w:val="4"/>
  </w:num>
  <w:num w:numId="2" w16cid:durableId="1740591242">
    <w:abstractNumId w:val="3"/>
  </w:num>
  <w:num w:numId="3" w16cid:durableId="312687839">
    <w:abstractNumId w:val="2"/>
  </w:num>
  <w:num w:numId="4" w16cid:durableId="1939439347">
    <w:abstractNumId w:val="1"/>
  </w:num>
  <w:num w:numId="5" w16cid:durableId="691343293">
    <w:abstractNumId w:val="0"/>
  </w:num>
  <w:num w:numId="6" w16cid:durableId="19936903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843589872">
    <w:abstractNumId w:val="5"/>
  </w:num>
  <w:num w:numId="8" w16cid:durableId="512720888">
    <w:abstractNumId w:val="8"/>
  </w:num>
  <w:num w:numId="9" w16cid:durableId="70637075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412314065">
    <w:abstractNumId w:val="1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742368906">
    <w:abstractNumId w:val="1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978991070">
    <w:abstractNumId w:val="13"/>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950888937">
    <w:abstractNumId w:val="12"/>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456459296">
    <w:abstractNumId w:val="1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7050628">
    <w:abstractNumId w:val="18"/>
  </w:num>
  <w:num w:numId="16" w16cid:durableId="321397374">
    <w:abstractNumId w:val="7"/>
  </w:num>
  <w:num w:numId="17" w16cid:durableId="2133665009">
    <w:abstractNumId w:val="10"/>
  </w:num>
  <w:num w:numId="18" w16cid:durableId="2010597771">
    <w:abstractNumId w:val="9"/>
  </w:num>
  <w:num w:numId="19" w16cid:durableId="816799999">
    <w:abstractNumId w:val="6"/>
  </w:num>
  <w:num w:numId="20" w16cid:durableId="249583450">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displayBackgroundShape/>
  <w:proofState w:spelling="clean" w:grammar="clean"/>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09"/>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FDA"/>
    <w:rsid w:val="00037D72"/>
    <w:rsid w:val="00051C89"/>
    <w:rsid w:val="000638A8"/>
    <w:rsid w:val="00074933"/>
    <w:rsid w:val="00083967"/>
    <w:rsid w:val="00083E93"/>
    <w:rsid w:val="0009055A"/>
    <w:rsid w:val="00091408"/>
    <w:rsid w:val="00095949"/>
    <w:rsid w:val="000A6032"/>
    <w:rsid w:val="000A6AEC"/>
    <w:rsid w:val="000A7EED"/>
    <w:rsid w:val="000C0FD2"/>
    <w:rsid w:val="000D5C73"/>
    <w:rsid w:val="000E064D"/>
    <w:rsid w:val="000E2877"/>
    <w:rsid w:val="000F3666"/>
    <w:rsid w:val="000F7F0B"/>
    <w:rsid w:val="00130FA6"/>
    <w:rsid w:val="0015714D"/>
    <w:rsid w:val="00186090"/>
    <w:rsid w:val="001A279A"/>
    <w:rsid w:val="001B3D6D"/>
    <w:rsid w:val="001B72C1"/>
    <w:rsid w:val="001C7109"/>
    <w:rsid w:val="001D2A2A"/>
    <w:rsid w:val="0021029D"/>
    <w:rsid w:val="00213616"/>
    <w:rsid w:val="00226F10"/>
    <w:rsid w:val="00235B3D"/>
    <w:rsid w:val="00263370"/>
    <w:rsid w:val="00264ECE"/>
    <w:rsid w:val="00267FEA"/>
    <w:rsid w:val="002804F8"/>
    <w:rsid w:val="00281CB0"/>
    <w:rsid w:val="00294D7F"/>
    <w:rsid w:val="002B4C71"/>
    <w:rsid w:val="002C7872"/>
    <w:rsid w:val="002D0E87"/>
    <w:rsid w:val="002D5E2D"/>
    <w:rsid w:val="002E6255"/>
    <w:rsid w:val="002F269B"/>
    <w:rsid w:val="002F3C42"/>
    <w:rsid w:val="00315663"/>
    <w:rsid w:val="003362D5"/>
    <w:rsid w:val="00340CD9"/>
    <w:rsid w:val="0035216B"/>
    <w:rsid w:val="00352A27"/>
    <w:rsid w:val="003B39BA"/>
    <w:rsid w:val="003E0DF8"/>
    <w:rsid w:val="003F4515"/>
    <w:rsid w:val="004053B7"/>
    <w:rsid w:val="00420548"/>
    <w:rsid w:val="004232DD"/>
    <w:rsid w:val="0042594F"/>
    <w:rsid w:val="0046023A"/>
    <w:rsid w:val="00491451"/>
    <w:rsid w:val="00491FF4"/>
    <w:rsid w:val="004965F4"/>
    <w:rsid w:val="00497C60"/>
    <w:rsid w:val="004A6730"/>
    <w:rsid w:val="004E4BB1"/>
    <w:rsid w:val="00500BB0"/>
    <w:rsid w:val="005125EB"/>
    <w:rsid w:val="005249CE"/>
    <w:rsid w:val="0053710B"/>
    <w:rsid w:val="005566E2"/>
    <w:rsid w:val="00580AE1"/>
    <w:rsid w:val="00581AD4"/>
    <w:rsid w:val="0058748C"/>
    <w:rsid w:val="00592226"/>
    <w:rsid w:val="005A560B"/>
    <w:rsid w:val="005B6D25"/>
    <w:rsid w:val="005D63BB"/>
    <w:rsid w:val="005E294A"/>
    <w:rsid w:val="005F33EA"/>
    <w:rsid w:val="00603449"/>
    <w:rsid w:val="006035A2"/>
    <w:rsid w:val="00605DA4"/>
    <w:rsid w:val="0062233E"/>
    <w:rsid w:val="00630364"/>
    <w:rsid w:val="00692512"/>
    <w:rsid w:val="006A24DF"/>
    <w:rsid w:val="006B2B2D"/>
    <w:rsid w:val="006B3EBF"/>
    <w:rsid w:val="006B4DB7"/>
    <w:rsid w:val="006C76BF"/>
    <w:rsid w:val="006C7EB5"/>
    <w:rsid w:val="006D421D"/>
    <w:rsid w:val="006E0132"/>
    <w:rsid w:val="006F58D0"/>
    <w:rsid w:val="00722669"/>
    <w:rsid w:val="0074705F"/>
    <w:rsid w:val="007473EE"/>
    <w:rsid w:val="0075291A"/>
    <w:rsid w:val="0077606C"/>
    <w:rsid w:val="0079636F"/>
    <w:rsid w:val="007A1879"/>
    <w:rsid w:val="007B2BB0"/>
    <w:rsid w:val="007C0DF1"/>
    <w:rsid w:val="007C7004"/>
    <w:rsid w:val="007E3441"/>
    <w:rsid w:val="0081600C"/>
    <w:rsid w:val="00831741"/>
    <w:rsid w:val="00865CEB"/>
    <w:rsid w:val="00874A1C"/>
    <w:rsid w:val="0088520C"/>
    <w:rsid w:val="0088740A"/>
    <w:rsid w:val="008947E5"/>
    <w:rsid w:val="008C541C"/>
    <w:rsid w:val="008D2D8E"/>
    <w:rsid w:val="008D576E"/>
    <w:rsid w:val="008D6A63"/>
    <w:rsid w:val="008E522B"/>
    <w:rsid w:val="009046D2"/>
    <w:rsid w:val="0090487C"/>
    <w:rsid w:val="009200CD"/>
    <w:rsid w:val="00925E63"/>
    <w:rsid w:val="00930CA3"/>
    <w:rsid w:val="00931CB6"/>
    <w:rsid w:val="00936176"/>
    <w:rsid w:val="009375D8"/>
    <w:rsid w:val="0094071B"/>
    <w:rsid w:val="00965080"/>
    <w:rsid w:val="0097184C"/>
    <w:rsid w:val="009B5859"/>
    <w:rsid w:val="009D063E"/>
    <w:rsid w:val="009D50C6"/>
    <w:rsid w:val="009F6CBA"/>
    <w:rsid w:val="00A0654C"/>
    <w:rsid w:val="00A17E49"/>
    <w:rsid w:val="00A211EC"/>
    <w:rsid w:val="00A2443A"/>
    <w:rsid w:val="00A30534"/>
    <w:rsid w:val="00A60857"/>
    <w:rsid w:val="00A9449C"/>
    <w:rsid w:val="00AD56BA"/>
    <w:rsid w:val="00B22EA6"/>
    <w:rsid w:val="00B337E7"/>
    <w:rsid w:val="00B37EBB"/>
    <w:rsid w:val="00B47FDA"/>
    <w:rsid w:val="00B66C06"/>
    <w:rsid w:val="00B71199"/>
    <w:rsid w:val="00B95369"/>
    <w:rsid w:val="00BC15FD"/>
    <w:rsid w:val="00BF1EC3"/>
    <w:rsid w:val="00BF2446"/>
    <w:rsid w:val="00C12EA1"/>
    <w:rsid w:val="00C211F9"/>
    <w:rsid w:val="00C475A8"/>
    <w:rsid w:val="00C72951"/>
    <w:rsid w:val="00C87E33"/>
    <w:rsid w:val="00CC74EC"/>
    <w:rsid w:val="00CD0293"/>
    <w:rsid w:val="00CD45AA"/>
    <w:rsid w:val="00CE5EBC"/>
    <w:rsid w:val="00CE6481"/>
    <w:rsid w:val="00CF382E"/>
    <w:rsid w:val="00D0288A"/>
    <w:rsid w:val="00D1207D"/>
    <w:rsid w:val="00D14C78"/>
    <w:rsid w:val="00D20BA1"/>
    <w:rsid w:val="00D263B7"/>
    <w:rsid w:val="00D30D55"/>
    <w:rsid w:val="00D519AC"/>
    <w:rsid w:val="00D65701"/>
    <w:rsid w:val="00D72F63"/>
    <w:rsid w:val="00D841DA"/>
    <w:rsid w:val="00DB2830"/>
    <w:rsid w:val="00DC3B7E"/>
    <w:rsid w:val="00DF1C2C"/>
    <w:rsid w:val="00DF5918"/>
    <w:rsid w:val="00E03517"/>
    <w:rsid w:val="00E221E2"/>
    <w:rsid w:val="00E24C44"/>
    <w:rsid w:val="00E366A7"/>
    <w:rsid w:val="00E430D6"/>
    <w:rsid w:val="00E509B1"/>
    <w:rsid w:val="00E569B6"/>
    <w:rsid w:val="00E64D84"/>
    <w:rsid w:val="00EC1CD8"/>
    <w:rsid w:val="00EC68E5"/>
    <w:rsid w:val="00ED0011"/>
    <w:rsid w:val="00EE4773"/>
    <w:rsid w:val="00F05545"/>
    <w:rsid w:val="00F06464"/>
    <w:rsid w:val="00F249FA"/>
    <w:rsid w:val="00F308F2"/>
    <w:rsid w:val="00F62F98"/>
    <w:rsid w:val="00F74BFC"/>
    <w:rsid w:val="00F77D2A"/>
    <w:rsid w:val="00F9054E"/>
    <w:rsid w:val="00FB10C9"/>
    <w:rsid w:val="00FF224A"/>
  </w:rsids>
  <m:mathPr>
    <m:mathFont m:val="Cambria Math"/>
    <m:brkBin m:val="before"/>
    <m:brkBinSub m:val="--"/>
    <m:smallFrac m:val="0"/>
    <m:dispDef/>
    <m:lMargin m:val="0"/>
    <m:rMargin m:val="0"/>
    <m:defJc m:val="centerGroup"/>
    <m:wrapIndent m:val="1440"/>
    <m:intLim m:val="subSup"/>
    <m:naryLim m:val="undOvr"/>
  </m:mathPr>
  <w:themeFontLang w:val="de-CH"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D21DD3A"/>
  <w15:docId w15:val="{4AC0257D-2648-48BC-A60E-F0CD162D76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CH" w:eastAsia="de-CH"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B4DB7"/>
    <w:rPr>
      <w:rFonts w:asciiTheme="minorHAnsi" w:hAnsiTheme="minorHAnsi" w:cstheme="minorHAnsi"/>
      <w:sz w:val="22"/>
      <w:szCs w:val="28"/>
    </w:rPr>
  </w:style>
  <w:style w:type="paragraph" w:styleId="berschrift1">
    <w:name w:val="heading 1"/>
    <w:basedOn w:val="Standard"/>
    <w:next w:val="Standard"/>
    <w:link w:val="berschrift1Zchn"/>
    <w:qFormat/>
    <w:rsid w:val="00B47FDA"/>
    <w:pPr>
      <w:keepNext/>
      <w:numPr>
        <w:numId w:val="20"/>
      </w:numPr>
      <w:spacing w:before="240" w:after="60"/>
      <w:outlineLvl w:val="0"/>
    </w:pPr>
    <w:rPr>
      <w:rFonts w:ascii="Calibri" w:hAnsi="Calibri" w:cs="Arial"/>
      <w:b/>
      <w:bCs/>
      <w:kern w:val="32"/>
      <w:sz w:val="24"/>
      <w:szCs w:val="32"/>
    </w:rPr>
  </w:style>
  <w:style w:type="paragraph" w:styleId="berschrift2">
    <w:name w:val="heading 2"/>
    <w:basedOn w:val="Standard"/>
    <w:next w:val="Standard"/>
    <w:link w:val="berschrift2Zchn"/>
    <w:qFormat/>
    <w:rsid w:val="00B47FDA"/>
    <w:pPr>
      <w:keepNext/>
      <w:numPr>
        <w:ilvl w:val="1"/>
        <w:numId w:val="20"/>
      </w:numPr>
      <w:spacing w:before="240" w:after="60"/>
      <w:outlineLvl w:val="1"/>
    </w:pPr>
    <w:rPr>
      <w:rFonts w:ascii="Fago Pro" w:hAnsi="Fago Pro" w:cs="Arial"/>
      <w:b/>
      <w:bCs/>
      <w:iCs/>
    </w:rPr>
  </w:style>
  <w:style w:type="paragraph" w:styleId="berschrift3">
    <w:name w:val="heading 3"/>
    <w:basedOn w:val="Standard"/>
    <w:next w:val="Standard"/>
    <w:link w:val="berschrift3Zchn"/>
    <w:qFormat/>
    <w:rsid w:val="00B47FDA"/>
    <w:pPr>
      <w:keepNext/>
      <w:numPr>
        <w:ilvl w:val="2"/>
        <w:numId w:val="20"/>
      </w:numPr>
      <w:spacing w:before="240" w:after="60"/>
      <w:outlineLvl w:val="2"/>
    </w:pPr>
    <w:rPr>
      <w:rFonts w:ascii="Fago Pro" w:hAnsi="Fago Pro" w:cs="Arial"/>
      <w:bCs/>
      <w:szCs w:val="26"/>
    </w:rPr>
  </w:style>
  <w:style w:type="paragraph" w:styleId="berschrift4">
    <w:name w:val="heading 4"/>
    <w:basedOn w:val="Standard"/>
    <w:next w:val="Standard"/>
    <w:link w:val="berschrift4Zchn"/>
    <w:qFormat/>
    <w:rsid w:val="00B47FDA"/>
    <w:pPr>
      <w:keepNext/>
      <w:numPr>
        <w:ilvl w:val="3"/>
        <w:numId w:val="20"/>
      </w:numPr>
      <w:spacing w:before="240" w:after="60"/>
      <w:outlineLvl w:val="3"/>
    </w:pPr>
    <w:rPr>
      <w:rFonts w:ascii="Fago Pro" w:hAnsi="Fago Pro"/>
      <w:bCs/>
    </w:rPr>
  </w:style>
  <w:style w:type="paragraph" w:styleId="berschrift5">
    <w:name w:val="heading 5"/>
    <w:basedOn w:val="Standard"/>
    <w:next w:val="Standard"/>
    <w:link w:val="berschrift5Zchn"/>
    <w:qFormat/>
    <w:rsid w:val="00B47FDA"/>
    <w:pPr>
      <w:numPr>
        <w:ilvl w:val="4"/>
        <w:numId w:val="20"/>
      </w:numPr>
      <w:spacing w:before="240" w:after="60"/>
      <w:outlineLvl w:val="4"/>
    </w:pPr>
    <w:rPr>
      <w:bCs/>
      <w:iCs/>
      <w:szCs w:val="26"/>
    </w:rPr>
  </w:style>
  <w:style w:type="paragraph" w:styleId="berschrift6">
    <w:name w:val="heading 6"/>
    <w:basedOn w:val="Standard"/>
    <w:next w:val="Standard"/>
    <w:link w:val="berschrift6Zchn"/>
    <w:qFormat/>
    <w:rsid w:val="00B47FDA"/>
    <w:pPr>
      <w:numPr>
        <w:ilvl w:val="5"/>
        <w:numId w:val="20"/>
      </w:numPr>
      <w:spacing w:before="240" w:after="60"/>
      <w:outlineLvl w:val="5"/>
    </w:pPr>
    <w:rPr>
      <w:rFonts w:ascii="Times New Roman" w:hAnsi="Times New Roman"/>
      <w:b/>
      <w:bCs/>
      <w:szCs w:val="22"/>
    </w:rPr>
  </w:style>
  <w:style w:type="paragraph" w:styleId="berschrift7">
    <w:name w:val="heading 7"/>
    <w:basedOn w:val="Standard"/>
    <w:next w:val="Standard"/>
    <w:link w:val="berschrift7Zchn"/>
    <w:qFormat/>
    <w:rsid w:val="00B47FDA"/>
    <w:pPr>
      <w:numPr>
        <w:ilvl w:val="6"/>
        <w:numId w:val="20"/>
      </w:numPr>
      <w:spacing w:before="240" w:after="60"/>
      <w:outlineLvl w:val="6"/>
    </w:pPr>
    <w:rPr>
      <w:rFonts w:ascii="Times New Roman" w:hAnsi="Times New Roman"/>
      <w:sz w:val="24"/>
    </w:rPr>
  </w:style>
  <w:style w:type="paragraph" w:styleId="berschrift8">
    <w:name w:val="heading 8"/>
    <w:basedOn w:val="Standard"/>
    <w:next w:val="Standard"/>
    <w:link w:val="berschrift8Zchn"/>
    <w:qFormat/>
    <w:rsid w:val="00B47FDA"/>
    <w:pPr>
      <w:numPr>
        <w:ilvl w:val="7"/>
        <w:numId w:val="20"/>
      </w:numPr>
      <w:spacing w:before="240" w:after="60"/>
      <w:outlineLvl w:val="7"/>
    </w:pPr>
    <w:rPr>
      <w:rFonts w:ascii="Times New Roman" w:hAnsi="Times New Roman"/>
      <w:i/>
      <w:iCs/>
      <w:sz w:val="24"/>
    </w:rPr>
  </w:style>
  <w:style w:type="paragraph" w:styleId="berschrift9">
    <w:name w:val="heading 9"/>
    <w:basedOn w:val="Standard"/>
    <w:next w:val="Standard"/>
    <w:link w:val="berschrift9Zchn"/>
    <w:qFormat/>
    <w:rsid w:val="00B47FDA"/>
    <w:pPr>
      <w:numPr>
        <w:ilvl w:val="8"/>
        <w:numId w:val="20"/>
      </w:numPr>
      <w:spacing w:before="240" w:after="60"/>
      <w:outlineLvl w:val="8"/>
    </w:pPr>
    <w:rPr>
      <w:rFonts w:ascii="Arial" w:hAnsi="Arial" w:cs="Arial"/>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rsid w:val="000D5C73"/>
    <w:rPr>
      <w:color w:val="0000FF"/>
      <w:u w:val="single"/>
    </w:rPr>
  </w:style>
  <w:style w:type="paragraph" w:styleId="Sprechblasentext">
    <w:name w:val="Balloon Text"/>
    <w:basedOn w:val="Standard"/>
    <w:semiHidden/>
    <w:rsid w:val="00A17E49"/>
    <w:rPr>
      <w:rFonts w:ascii="Tahoma" w:hAnsi="Tahoma" w:cs="Tahoma"/>
      <w:sz w:val="16"/>
      <w:szCs w:val="16"/>
    </w:rPr>
  </w:style>
  <w:style w:type="table" w:styleId="Tabellenraster">
    <w:name w:val="Table Grid"/>
    <w:basedOn w:val="NormaleTabelle"/>
    <w:rsid w:val="00C211F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dresszeile">
    <w:name w:val="Adresszeile"/>
    <w:rsid w:val="00E569B6"/>
    <w:pPr>
      <w:framePr w:w="3901" w:h="181" w:hSpace="142" w:wrap="around" w:vAnchor="page" w:hAnchor="page" w:x="2501" w:y="2762" w:anchorLock="1"/>
    </w:pPr>
    <w:rPr>
      <w:rFonts w:ascii="FagoPro" w:hAnsi="FagoPro" w:cs="FagoPro"/>
      <w:sz w:val="18"/>
      <w:szCs w:val="17"/>
    </w:rPr>
  </w:style>
  <w:style w:type="paragraph" w:customStyle="1" w:styleId="Datumszeile">
    <w:name w:val="Datumszeile"/>
    <w:rsid w:val="002F269B"/>
    <w:pPr>
      <w:framePr w:w="3901" w:h="181" w:hSpace="142" w:wrap="around" w:vAnchor="page" w:hAnchor="page" w:x="2490" w:y="5733" w:anchorLock="1"/>
    </w:pPr>
    <w:rPr>
      <w:rFonts w:ascii="FagoPro" w:hAnsi="FagoPro" w:cs="FagoPro"/>
      <w:noProof/>
      <w:szCs w:val="18"/>
    </w:rPr>
  </w:style>
  <w:style w:type="paragraph" w:customStyle="1" w:styleId="Adressbox">
    <w:name w:val="Adressbox"/>
    <w:rsid w:val="00E569B6"/>
    <w:pPr>
      <w:framePr w:w="2002" w:h="2722" w:hRule="exact" w:hSpace="142" w:wrap="around" w:vAnchor="page" w:hAnchor="page" w:x="9328" w:y="2836" w:anchorLock="1"/>
      <w:autoSpaceDE w:val="0"/>
      <w:autoSpaceDN w:val="0"/>
      <w:adjustRightInd w:val="0"/>
    </w:pPr>
    <w:rPr>
      <w:rFonts w:ascii="FagoPro" w:hAnsi="FagoPro" w:cs="FagoPro"/>
      <w:sz w:val="18"/>
      <w:szCs w:val="17"/>
    </w:rPr>
  </w:style>
  <w:style w:type="character" w:styleId="Fett">
    <w:name w:val="Strong"/>
    <w:basedOn w:val="Absatz-Standardschriftart"/>
    <w:uiPriority w:val="22"/>
    <w:qFormat/>
    <w:rsid w:val="002F269B"/>
    <w:rPr>
      <w:b/>
      <w:bCs/>
    </w:rPr>
  </w:style>
  <w:style w:type="paragraph" w:styleId="Fu-Endnotenberschrift">
    <w:name w:val="Note Heading"/>
    <w:basedOn w:val="Standard"/>
    <w:next w:val="Standard"/>
    <w:rsid w:val="002F269B"/>
  </w:style>
  <w:style w:type="paragraph" w:styleId="Kopfzeile">
    <w:name w:val="header"/>
    <w:basedOn w:val="Standard"/>
    <w:rsid w:val="006D421D"/>
    <w:pPr>
      <w:tabs>
        <w:tab w:val="center" w:pos="4536"/>
        <w:tab w:val="right" w:pos="9072"/>
      </w:tabs>
    </w:pPr>
  </w:style>
  <w:style w:type="paragraph" w:styleId="Fuzeile">
    <w:name w:val="footer"/>
    <w:basedOn w:val="Standard"/>
    <w:link w:val="FuzeileZchn"/>
    <w:uiPriority w:val="99"/>
    <w:rsid w:val="006D421D"/>
    <w:pPr>
      <w:tabs>
        <w:tab w:val="center" w:pos="4536"/>
        <w:tab w:val="right" w:pos="9072"/>
      </w:tabs>
    </w:pPr>
  </w:style>
  <w:style w:type="paragraph" w:customStyle="1" w:styleId="FormatvorlageAdresszeile">
    <w:name w:val="Formatvorlage Adresszeile"/>
    <w:basedOn w:val="Adresszeile"/>
    <w:rsid w:val="00874A1C"/>
    <w:pPr>
      <w:framePr w:wrap="around"/>
    </w:pPr>
    <w:rPr>
      <w:u w:val="single"/>
    </w:rPr>
  </w:style>
  <w:style w:type="paragraph" w:styleId="StandardWeb">
    <w:name w:val="Normal (Web)"/>
    <w:basedOn w:val="Standard"/>
    <w:uiPriority w:val="99"/>
    <w:semiHidden/>
    <w:unhideWhenUsed/>
    <w:rsid w:val="00D1207D"/>
    <w:pPr>
      <w:spacing w:after="150"/>
    </w:pPr>
    <w:rPr>
      <w:rFonts w:ascii="Times New Roman" w:hAnsi="Times New Roman"/>
      <w:sz w:val="24"/>
    </w:rPr>
  </w:style>
  <w:style w:type="character" w:customStyle="1" w:styleId="FuzeileZchn">
    <w:name w:val="Fußzeile Zchn"/>
    <w:basedOn w:val="Absatz-Standardschriftart"/>
    <w:link w:val="Fuzeile"/>
    <w:uiPriority w:val="99"/>
    <w:rsid w:val="00D1207D"/>
    <w:rPr>
      <w:rFonts w:ascii="Fago Pro" w:hAnsi="Fago Pro"/>
      <w:szCs w:val="24"/>
    </w:rPr>
  </w:style>
  <w:style w:type="character" w:styleId="NichtaufgelsteErwhnung">
    <w:name w:val="Unresolved Mention"/>
    <w:basedOn w:val="Absatz-Standardschriftart"/>
    <w:uiPriority w:val="99"/>
    <w:semiHidden/>
    <w:unhideWhenUsed/>
    <w:rsid w:val="006035A2"/>
    <w:rPr>
      <w:color w:val="605E5C"/>
      <w:shd w:val="clear" w:color="auto" w:fill="E1DFDD"/>
    </w:rPr>
  </w:style>
  <w:style w:type="paragraph" w:styleId="Listenabsatz">
    <w:name w:val="List Paragraph"/>
    <w:basedOn w:val="Standard"/>
    <w:uiPriority w:val="34"/>
    <w:qFormat/>
    <w:rsid w:val="00083E93"/>
    <w:pPr>
      <w:ind w:left="720"/>
    </w:pPr>
    <w:rPr>
      <w:rFonts w:ascii="Calibri" w:eastAsiaTheme="minorHAnsi" w:hAnsi="Calibri" w:cs="Calibri"/>
      <w:szCs w:val="22"/>
      <w:lang w:eastAsia="en-US"/>
    </w:rPr>
  </w:style>
  <w:style w:type="character" w:customStyle="1" w:styleId="berschrift1Zchn">
    <w:name w:val="Überschrift 1 Zchn"/>
    <w:basedOn w:val="Absatz-Standardschriftart"/>
    <w:link w:val="berschrift1"/>
    <w:rsid w:val="00B47FDA"/>
    <w:rPr>
      <w:rFonts w:ascii="Calibri" w:hAnsi="Calibri" w:cs="Arial"/>
      <w:b/>
      <w:bCs/>
      <w:kern w:val="32"/>
      <w:sz w:val="24"/>
      <w:szCs w:val="32"/>
    </w:rPr>
  </w:style>
  <w:style w:type="character" w:customStyle="1" w:styleId="berschrift2Zchn">
    <w:name w:val="Überschrift 2 Zchn"/>
    <w:basedOn w:val="Absatz-Standardschriftart"/>
    <w:link w:val="berschrift2"/>
    <w:rsid w:val="00B47FDA"/>
    <w:rPr>
      <w:rFonts w:ascii="Fago Pro" w:hAnsi="Fago Pro" w:cs="Arial"/>
      <w:b/>
      <w:bCs/>
      <w:iCs/>
      <w:szCs w:val="28"/>
    </w:rPr>
  </w:style>
  <w:style w:type="character" w:customStyle="1" w:styleId="berschrift3Zchn">
    <w:name w:val="Überschrift 3 Zchn"/>
    <w:basedOn w:val="Absatz-Standardschriftart"/>
    <w:link w:val="berschrift3"/>
    <w:rsid w:val="00B47FDA"/>
    <w:rPr>
      <w:rFonts w:ascii="Fago Pro" w:hAnsi="Fago Pro" w:cs="Arial"/>
      <w:bCs/>
      <w:szCs w:val="26"/>
    </w:rPr>
  </w:style>
  <w:style w:type="character" w:customStyle="1" w:styleId="berschrift4Zchn">
    <w:name w:val="Überschrift 4 Zchn"/>
    <w:basedOn w:val="Absatz-Standardschriftart"/>
    <w:link w:val="berschrift4"/>
    <w:rsid w:val="00B47FDA"/>
    <w:rPr>
      <w:rFonts w:ascii="Fago Pro" w:hAnsi="Fago Pro"/>
      <w:bCs/>
      <w:szCs w:val="28"/>
    </w:rPr>
  </w:style>
  <w:style w:type="character" w:customStyle="1" w:styleId="berschrift5Zchn">
    <w:name w:val="Überschrift 5 Zchn"/>
    <w:basedOn w:val="Absatz-Standardschriftart"/>
    <w:link w:val="berschrift5"/>
    <w:rsid w:val="00B47FDA"/>
    <w:rPr>
      <w:rFonts w:asciiTheme="minorHAnsi" w:hAnsiTheme="minorHAnsi"/>
      <w:bCs/>
      <w:iCs/>
      <w:szCs w:val="26"/>
    </w:rPr>
  </w:style>
  <w:style w:type="character" w:customStyle="1" w:styleId="berschrift6Zchn">
    <w:name w:val="Überschrift 6 Zchn"/>
    <w:basedOn w:val="Absatz-Standardschriftart"/>
    <w:link w:val="berschrift6"/>
    <w:rsid w:val="00B47FDA"/>
    <w:rPr>
      <w:b/>
      <w:bCs/>
      <w:szCs w:val="22"/>
    </w:rPr>
  </w:style>
  <w:style w:type="character" w:customStyle="1" w:styleId="berschrift7Zchn">
    <w:name w:val="Überschrift 7 Zchn"/>
    <w:basedOn w:val="Absatz-Standardschriftart"/>
    <w:link w:val="berschrift7"/>
    <w:rsid w:val="00B47FDA"/>
    <w:rPr>
      <w:sz w:val="24"/>
      <w:szCs w:val="24"/>
    </w:rPr>
  </w:style>
  <w:style w:type="character" w:customStyle="1" w:styleId="berschrift8Zchn">
    <w:name w:val="Überschrift 8 Zchn"/>
    <w:basedOn w:val="Absatz-Standardschriftart"/>
    <w:link w:val="berschrift8"/>
    <w:rsid w:val="00B47FDA"/>
    <w:rPr>
      <w:i/>
      <w:iCs/>
      <w:sz w:val="24"/>
      <w:szCs w:val="24"/>
    </w:rPr>
  </w:style>
  <w:style w:type="character" w:customStyle="1" w:styleId="berschrift9Zchn">
    <w:name w:val="Überschrift 9 Zchn"/>
    <w:basedOn w:val="Absatz-Standardschriftart"/>
    <w:link w:val="berschrift9"/>
    <w:rsid w:val="00B47FDA"/>
    <w:rPr>
      <w:rFonts w:ascii="Arial" w:hAnsi="Arial" w:cs="Arial"/>
      <w:szCs w:val="22"/>
    </w:rPr>
  </w:style>
  <w:style w:type="paragraph" w:customStyle="1" w:styleId="Haupttitel">
    <w:name w:val="Haupttitel"/>
    <w:basedOn w:val="Kopfzeile"/>
    <w:rsid w:val="00B47FDA"/>
    <w:pPr>
      <w:tabs>
        <w:tab w:val="clear" w:pos="4536"/>
        <w:tab w:val="clear" w:pos="9072"/>
      </w:tabs>
      <w:spacing w:line="810" w:lineRule="exact"/>
    </w:pPr>
    <w:rPr>
      <w:rFonts w:ascii="Fago Pro" w:eastAsia="Times" w:hAnsi="Fago Pro"/>
      <w:b/>
      <w:sz w:val="40"/>
      <w:szCs w:val="20"/>
      <w:lang w:eastAsia="de-DE"/>
    </w:rPr>
  </w:style>
  <w:style w:type="character" w:styleId="Kommentarzeichen">
    <w:name w:val="annotation reference"/>
    <w:basedOn w:val="Absatz-Standardschriftart"/>
    <w:uiPriority w:val="99"/>
    <w:semiHidden/>
    <w:unhideWhenUsed/>
    <w:rsid w:val="00B47FDA"/>
    <w:rPr>
      <w:sz w:val="16"/>
      <w:szCs w:val="16"/>
    </w:rPr>
  </w:style>
  <w:style w:type="paragraph" w:styleId="Kommentartext">
    <w:name w:val="annotation text"/>
    <w:basedOn w:val="Standard"/>
    <w:link w:val="KommentartextZchn"/>
    <w:uiPriority w:val="99"/>
    <w:unhideWhenUsed/>
    <w:rsid w:val="00B47FDA"/>
    <w:pPr>
      <w:spacing w:after="200"/>
    </w:pPr>
    <w:rPr>
      <w:rFonts w:eastAsiaTheme="minorEastAsia" w:cstheme="minorBidi"/>
      <w:szCs w:val="20"/>
      <w:lang w:eastAsia="en-US"/>
    </w:rPr>
  </w:style>
  <w:style w:type="character" w:customStyle="1" w:styleId="KommentartextZchn">
    <w:name w:val="Kommentartext Zchn"/>
    <w:basedOn w:val="Absatz-Standardschriftart"/>
    <w:link w:val="Kommentartext"/>
    <w:uiPriority w:val="99"/>
    <w:rsid w:val="00B47FDA"/>
    <w:rPr>
      <w:rFonts w:asciiTheme="minorHAnsi" w:eastAsiaTheme="minorEastAsia" w:hAnsiTheme="minorHAnsi" w:cstheme="minorBidi"/>
      <w:lang w:val="fr-CH" w:eastAsia="en-US"/>
    </w:rPr>
  </w:style>
  <w:style w:type="paragraph" w:styleId="Kommentarthema">
    <w:name w:val="annotation subject"/>
    <w:basedOn w:val="Kommentartext"/>
    <w:next w:val="Kommentartext"/>
    <w:link w:val="KommentarthemaZchn"/>
    <w:semiHidden/>
    <w:unhideWhenUsed/>
    <w:rsid w:val="00A60857"/>
    <w:pPr>
      <w:spacing w:after="0"/>
    </w:pPr>
    <w:rPr>
      <w:rFonts w:eastAsia="Times New Roman" w:cstheme="minorHAnsi"/>
      <w:b/>
      <w:bCs/>
      <w:sz w:val="20"/>
      <w:lang w:eastAsia="de-CH"/>
    </w:rPr>
  </w:style>
  <w:style w:type="character" w:customStyle="1" w:styleId="KommentarthemaZchn">
    <w:name w:val="Kommentarthema Zchn"/>
    <w:basedOn w:val="KommentartextZchn"/>
    <w:link w:val="Kommentarthema"/>
    <w:semiHidden/>
    <w:rsid w:val="00A60857"/>
    <w:rPr>
      <w:rFonts w:asciiTheme="minorHAnsi" w:eastAsiaTheme="minorEastAsia" w:hAnsiTheme="minorHAnsi" w:cstheme="minorHAnsi"/>
      <w:b/>
      <w:bCs/>
      <w:lang w:val="fr-CH"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676762">
      <w:bodyDiv w:val="1"/>
      <w:marLeft w:val="0"/>
      <w:marRight w:val="0"/>
      <w:marTop w:val="0"/>
      <w:marBottom w:val="0"/>
      <w:divBdr>
        <w:top w:val="none" w:sz="0" w:space="0" w:color="auto"/>
        <w:left w:val="none" w:sz="0" w:space="0" w:color="auto"/>
        <w:bottom w:val="none" w:sz="0" w:space="0" w:color="auto"/>
        <w:right w:val="none" w:sz="0" w:space="0" w:color="auto"/>
      </w:divBdr>
    </w:div>
    <w:div w:id="408239275">
      <w:bodyDiv w:val="1"/>
      <w:marLeft w:val="0"/>
      <w:marRight w:val="0"/>
      <w:marTop w:val="0"/>
      <w:marBottom w:val="0"/>
      <w:divBdr>
        <w:top w:val="none" w:sz="0" w:space="0" w:color="auto"/>
        <w:left w:val="none" w:sz="0" w:space="0" w:color="auto"/>
        <w:bottom w:val="none" w:sz="0" w:space="0" w:color="auto"/>
        <w:right w:val="none" w:sz="0" w:space="0" w:color="auto"/>
      </w:divBdr>
    </w:div>
    <w:div w:id="955403043">
      <w:bodyDiv w:val="1"/>
      <w:marLeft w:val="0"/>
      <w:marRight w:val="0"/>
      <w:marTop w:val="0"/>
      <w:marBottom w:val="0"/>
      <w:divBdr>
        <w:top w:val="none" w:sz="0" w:space="0" w:color="auto"/>
        <w:left w:val="none" w:sz="0" w:space="0" w:color="auto"/>
        <w:bottom w:val="none" w:sz="0" w:space="0" w:color="auto"/>
        <w:right w:val="none" w:sz="0" w:space="0" w:color="auto"/>
      </w:divBdr>
    </w:div>
    <w:div w:id="1514371179">
      <w:bodyDiv w:val="1"/>
      <w:marLeft w:val="0"/>
      <w:marRight w:val="0"/>
      <w:marTop w:val="0"/>
      <w:marBottom w:val="0"/>
      <w:divBdr>
        <w:top w:val="none" w:sz="0" w:space="0" w:color="auto"/>
        <w:left w:val="none" w:sz="0" w:space="0" w:color="auto"/>
        <w:bottom w:val="none" w:sz="0" w:space="0" w:color="auto"/>
        <w:right w:val="none" w:sz="0" w:space="0" w:color="auto"/>
      </w:divBdr>
    </w:div>
    <w:div w:id="1522163427">
      <w:marLeft w:val="0"/>
      <w:marRight w:val="0"/>
      <w:marTop w:val="0"/>
      <w:marBottom w:val="0"/>
      <w:divBdr>
        <w:top w:val="none" w:sz="0" w:space="0" w:color="auto"/>
        <w:left w:val="none" w:sz="0" w:space="0" w:color="auto"/>
        <w:bottom w:val="none" w:sz="0" w:space="0" w:color="auto"/>
        <w:right w:val="none" w:sz="0" w:space="0" w:color="auto"/>
      </w:divBdr>
    </w:div>
    <w:div w:id="19668165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vmi.ch/de/"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vmi.ch/de/" TargetMode="Externa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86B77C5F797444B94758EE3F8AFB3A3" ma:contentTypeVersion="13" ma:contentTypeDescription="Create a new document." ma:contentTypeScope="" ma:versionID="bc0f7194efd08aca0dc6d97df440c8cc">
  <xsd:schema xmlns:xsd="http://www.w3.org/2001/XMLSchema" xmlns:xs="http://www.w3.org/2001/XMLSchema" xmlns:p="http://schemas.microsoft.com/office/2006/metadata/properties" xmlns:ns2="cf478315-deee-4771-ab77-b09197b83fc3" xmlns:ns3="84c57e70-2816-42cd-843c-3dbda68963c1" targetNamespace="http://schemas.microsoft.com/office/2006/metadata/properties" ma:root="true" ma:fieldsID="2d3b82682e8dd3662c79670e93fe42e3" ns2:_="" ns3:_="">
    <xsd:import namespace="cf478315-deee-4771-ab77-b09197b83fc3"/>
    <xsd:import namespace="84c57e70-2816-42cd-843c-3dbda68963c1"/>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Location" minOccurs="0"/>
                <xsd:element ref="ns2:MediaServiceGenerationTime" minOccurs="0"/>
                <xsd:element ref="ns2:MediaServiceEventHashCode" minOccurs="0"/>
                <xsd:element ref="ns2:MediaLengthInSeconds" minOccurs="0"/>
                <xsd:element ref="ns2:MediaServiceBillingMetadata"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478315-deee-4771-ab77-b09197b83fc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Location" ma:index="12" nillable="true" ma:displayName="Location" ma:indexed="true" ma:internalName="MediaServiceLocatio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18" nillable="true" ma:taxonomy="true" ma:internalName="lcf76f155ced4ddcb4097134ff3c332f" ma:taxonomyFieldName="MediaServiceImageTags" ma:displayName="Image Tags" ma:readOnly="false" ma:fieldId="{5cf76f15-5ced-4ddc-b409-7134ff3c332f}" ma:taxonomyMulti="true" ma:sspId="cfee2537-94b9-4e9c-a10f-7c387df481b2"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84c57e70-2816-42cd-843c-3dbda68963c1" elementFormDefault="qualified">
    <xsd:import namespace="http://schemas.microsoft.com/office/2006/documentManagement/types"/>
    <xsd:import namespace="http://schemas.microsoft.com/office/infopath/2007/PartnerControls"/>
    <xsd:element name="TaxCatchAll" ma:index="19" nillable="true" ma:displayName="Taxonomy Catch All Column" ma:hidden="true" ma:list="{77d75936-ba31-4773-907c-bc27ae282ff5}" ma:internalName="TaxCatchAll" ma:showField="CatchAllData" ma:web="84c57e70-2816-42cd-843c-3dbda68963c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f478315-deee-4771-ab77-b09197b83fc3">
      <Terms xmlns="http://schemas.microsoft.com/office/infopath/2007/PartnerControls"/>
    </lcf76f155ced4ddcb4097134ff3c332f>
    <TaxCatchAll xmlns="84c57e70-2816-42cd-843c-3dbda68963c1"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113543-D8AB-4C92-B56E-D584478CD11D}"/>
</file>

<file path=customXml/itemProps2.xml><?xml version="1.0" encoding="utf-8"?>
<ds:datastoreItem xmlns:ds="http://schemas.openxmlformats.org/officeDocument/2006/customXml" ds:itemID="{28FDFF1E-8411-4026-8BCF-BEC0F1133B58}">
  <ds:schemaRefs>
    <ds:schemaRef ds:uri="http://schemas.microsoft.com/sharepoint/v3/contenttype/forms"/>
  </ds:schemaRefs>
</ds:datastoreItem>
</file>

<file path=customXml/itemProps3.xml><?xml version="1.0" encoding="utf-8"?>
<ds:datastoreItem xmlns:ds="http://schemas.openxmlformats.org/officeDocument/2006/customXml" ds:itemID="{AB3E6EA9-7C2A-4CC9-901F-20E83F46A234}">
  <ds:schemaRefs>
    <ds:schemaRef ds:uri="http://schemas.microsoft.com/office/2006/metadata/properties"/>
    <ds:schemaRef ds:uri="http://schemas.microsoft.com/office/infopath/2007/PartnerControls"/>
    <ds:schemaRef ds:uri="cf478315-deee-4771-ab77-b09197b83fc3"/>
    <ds:schemaRef ds:uri="84c57e70-2816-42cd-843c-3dbda68963c1"/>
  </ds:schemaRefs>
</ds:datastoreItem>
</file>

<file path=customXml/itemProps4.xml><?xml version="1.0" encoding="utf-8"?>
<ds:datastoreItem xmlns:ds="http://schemas.openxmlformats.org/officeDocument/2006/customXml" ds:itemID="{D412214A-BAD0-4240-9317-AD8F3272C3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474</Words>
  <Characters>2989</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
    </vt:vector>
  </TitlesOfParts>
  <Company>Swiss Olympic</Company>
  <LinksUpToDate>false</LinksUpToDate>
  <CharactersWithSpaces>3457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Meier Rafael</dc:creator>
  <cp:lastModifiedBy>Patricia Prado Varela</cp:lastModifiedBy>
  <cp:revision>36</cp:revision>
  <cp:lastPrinted>2018-03-06T14:11:00Z</cp:lastPrinted>
  <dcterms:created xsi:type="dcterms:W3CDTF">2025-11-03T14:27:00Z</dcterms:created>
  <dcterms:modified xsi:type="dcterms:W3CDTF">2026-01-26T14:03:00Z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0x010100D86B77C5F797444B94758EE3F8AFB3A3</vt:lpwstr>
  </property>
  <property fmtid="{D5CDD505-2E9C-101B-9397-08002B2CF9AE}" pid="3" name="gbd5e47e263f490a86763bb6b0167a0a">
    <vt:lpwstr/>
  </property>
  <property fmtid="{D5CDD505-2E9C-101B-9397-08002B2CF9AE}" pid="4" name="SOAKategorie">
    <vt:lpwstr/>
  </property>
  <property fmtid="{D5CDD505-2E9C-101B-9397-08002B2CF9AE}" pid="5" name="TaxCatchAll">
    <vt:lpwstr/>
  </property>
  <property fmtid="{D5CDD505-2E9C-101B-9397-08002B2CF9AE}" pid="6" name="_dlc_DocIdItemGuid">
    <vt:lpwstr>24950282-4834-4daf-85e1-b42270299762</vt:lpwstr>
  </property>
  <property fmtid="{D5CDD505-2E9C-101B-9397-08002B2CF9AE}" pid="7" name="MediaServiceImageTags">
    <vt:lpwstr/>
  </property>
  <property fmtid="{D5CDD505-2E9C-101B-9397-08002B2CF9AE}" pid="8" name="Order">
    <vt:r8>10021000</vt:r8>
  </property>
  <property fmtid="{D5CDD505-2E9C-101B-9397-08002B2CF9AE}" pid="9" name="xd_Signature">
    <vt:bool>false</vt:bool>
  </property>
  <property fmtid="{D5CDD505-2E9C-101B-9397-08002B2CF9AE}" pid="10" name="xd_ProgID">
    <vt:lpwstr/>
  </property>
  <property fmtid="{D5CDD505-2E9C-101B-9397-08002B2CF9AE}" pid="11" name="TriggerFlowInfo">
    <vt:lpwstr/>
  </property>
  <property fmtid="{D5CDD505-2E9C-101B-9397-08002B2CF9AE}" pid="12" name="ComplianceAssetId">
    <vt:lpwstr/>
  </property>
  <property fmtid="{D5CDD505-2E9C-101B-9397-08002B2CF9AE}" pid="13" name="TemplateUrl">
    <vt:lpwstr/>
  </property>
  <property fmtid="{D5CDD505-2E9C-101B-9397-08002B2CF9AE}" pid="14" name="_ExtendedDescription">
    <vt:lpwstr/>
  </property>
</Properties>
</file>