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75C4A" w14:textId="72370793" w:rsidR="00B47FDA" w:rsidRDefault="00B47FDA" w:rsidP="002D5E2D">
      <w:pPr>
        <w:pStyle w:val="Haupttitel"/>
        <w:spacing w:line="240" w:lineRule="auto"/>
      </w:pPr>
      <w:r w:rsidRPr="00B47FDA">
        <w:t xml:space="preserve">Factsheet </w:t>
      </w:r>
      <w:r w:rsidR="002D5E2D">
        <w:br/>
      </w:r>
      <w:r w:rsidRPr="00B47FDA">
        <w:t>Unternehmerische Orientierung</w:t>
      </w:r>
    </w:p>
    <w:p w14:paraId="305E1506" w14:textId="77777777" w:rsidR="002D5E2D" w:rsidRPr="00B47FDA" w:rsidRDefault="002D5E2D" w:rsidP="002D5E2D"/>
    <w:p w14:paraId="63BF5B10" w14:textId="36F49913" w:rsidR="00B47FDA" w:rsidRPr="003970D2" w:rsidRDefault="00B47FDA" w:rsidP="006B4DB7">
      <w:pPr>
        <w:pStyle w:val="berschrift1"/>
      </w:pPr>
      <w:r w:rsidRPr="003970D2">
        <w:t>Was ist Unternehmerische Orientierung?</w:t>
      </w:r>
    </w:p>
    <w:p w14:paraId="3F156667" w14:textId="60A13994" w:rsidR="00B47FDA" w:rsidRPr="00B47FDA" w:rsidRDefault="006B4DB7" w:rsidP="006B4DB7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087EE3" wp14:editId="67102C56">
                <wp:simplePos x="0" y="0"/>
                <wp:positionH relativeFrom="column">
                  <wp:posOffset>3564890</wp:posOffset>
                </wp:positionH>
                <wp:positionV relativeFrom="paragraph">
                  <wp:posOffset>59055</wp:posOffset>
                </wp:positionV>
                <wp:extent cx="2423160" cy="1630680"/>
                <wp:effectExtent l="0" t="0" r="15240" b="26670"/>
                <wp:wrapThrough wrapText="bothSides">
                  <wp:wrapPolygon edited="0">
                    <wp:start x="0" y="0"/>
                    <wp:lineTo x="0" y="21701"/>
                    <wp:lineTo x="21566" y="21701"/>
                    <wp:lineTo x="21566" y="0"/>
                    <wp:lineTo x="0" y="0"/>
                  </wp:wrapPolygon>
                </wp:wrapThrough>
                <wp:docPr id="24917330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3160" cy="1630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BCF735" w14:textId="4CFC79A0" w:rsidR="001C7109" w:rsidRPr="006B4DB7" w:rsidRDefault="001C7109" w:rsidP="006B4DB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6B4DB7">
                              <w:rPr>
                                <w:sz w:val="20"/>
                                <w:szCs w:val="20"/>
                              </w:rPr>
                              <w:t>Die Beurteilung der Unternehmerischen Orientierung im Rahmen des Verbandsfördermodells basiert auf einer NPO-spezifischen Erweiterung eines etablierten UO-Modells. Diese wurde im Rahmen der NPO-Forschung des Verbandsmanagement Institut (</w:t>
                            </w:r>
                            <w:hyperlink r:id="rId11" w:history="1">
                              <w:r w:rsidRPr="006B4DB7">
                                <w:rPr>
                                  <w:rStyle w:val="Hyperlink"/>
                                  <w:sz w:val="20"/>
                                  <w:szCs w:val="20"/>
                                </w:rPr>
                                <w:t>VMI</w:t>
                              </w:r>
                            </w:hyperlink>
                            <w:r w:rsidRPr="006B4DB7">
                              <w:rPr>
                                <w:sz w:val="20"/>
                                <w:szCs w:val="20"/>
                              </w:rPr>
                              <w:t>) an der Universität Fribourg entwickelt und berücksichtigt die besonderen Anforderungen gemeinnütziger Organisationen wie Sportverbände – insbesondere die Bedeutung von Freiwilligenarbeit, Mitgliederbindung und partizipativer Führung.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087EE3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280.7pt;margin-top:4.65pt;width:190.8pt;height:12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" fillcolor="white [3201]" strokeweight=".5pt">
                <v:textbox>
                  <w:txbxContent>
                    <w:p w14:paraId="1ABCF735" w14:textId="4CFC79A0" w:rsidR="001C7109" w:rsidRPr="006B4DB7" w:rsidRDefault="001C7109" w:rsidP="006B4DB7">
                      <w:pPr>
                        <w:rPr>
                          <w:sz w:val="20"/>
                          <w:szCs w:val="20"/>
                        </w:rPr>
                      </w:pPr>
                      <w:r w:rsidRPr="006B4DB7">
                        <w:rPr>
                          <w:sz w:val="20"/>
                          <w:szCs w:val="20"/>
                        </w:rPr>
                        <w:t>Die Beurteilung der Unternehmerischen Orientierung im Rahmen des Verbandsfördermodells basiert auf einer NPO-spezifischen Erweiterung eines etablierten UO-Modells. Diese wurde im Rahmen der NPO-Forschung des Verbandsmanagement Institut (</w:t>
                      </w:r>
                      <w:hyperlink r:id="rId12" w:history="1">
                        <w:r w:rsidRPr="006B4DB7">
                          <w:rPr>
                            <w:rStyle w:val="Hyperlink"/>
                            <w:sz w:val="20"/>
                            <w:szCs w:val="20"/>
                          </w:rPr>
                          <w:t>VMI</w:t>
                        </w:r>
                      </w:hyperlink>
                      <w:r w:rsidRPr="006B4DB7">
                        <w:rPr>
                          <w:sz w:val="20"/>
                          <w:szCs w:val="20"/>
                        </w:rPr>
                        <w:t>) an der Universität Fribourg entwickelt und berücksichtigt die besonderen Anforderungen gemeinnütziger Organisationen wie Sportverbände – insbesondere die Bedeutung von Freiwilligenarbeit, Mitgliederbindung und partizipativer Führung.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B47FDA" w:rsidRPr="00B47FDA">
        <w:t xml:space="preserve">Die </w:t>
      </w:r>
      <w:r w:rsidR="00B47FDA" w:rsidRPr="006B4DB7">
        <w:t>Unternehmerische</w:t>
      </w:r>
      <w:r w:rsidR="00B47FDA" w:rsidRPr="000E064D">
        <w:t xml:space="preserve"> </w:t>
      </w:r>
      <w:r w:rsidR="00B47FDA" w:rsidRPr="00B47FDA">
        <w:t>Orientierung (UO) beschreibt die strategische Ausrichtung einer Organisation, die über klassische Verwaltungslogik hinausgeht. Sie fördert unternehmerisches Denken und Handeln in allen Bereichen – unabhängig davon, ob es sich um gewinnorientierte Unternehmen (POs) oder gemeinnützige Organisationen (NPOs) handelt. Im NPO-Kontext – und damit auch für Sportverbände – bedeutet UO nicht primär wirtschaftliches Wachstum, sondern die Fähigkeit, Chancen zu erkennen, innovativ zu handeln, Ressourcen zu mobilisieren und Mitglieder zu aktivieren.</w:t>
      </w:r>
    </w:p>
    <w:p w14:paraId="33066558" w14:textId="4C849436" w:rsidR="00B47FDA" w:rsidRDefault="00B47FDA" w:rsidP="006B4DB7">
      <w:pPr>
        <w:pStyle w:val="berschrift1"/>
      </w:pPr>
      <w:r w:rsidRPr="003970D2">
        <w:t xml:space="preserve">Dimensionen </w:t>
      </w:r>
      <w:r>
        <w:t xml:space="preserve">einer </w:t>
      </w:r>
      <w:r w:rsidRPr="003970D2">
        <w:t xml:space="preserve">Unternehmerische Orientierung </w:t>
      </w:r>
    </w:p>
    <w:p w14:paraId="176AB857" w14:textId="173B1E7D" w:rsidR="00B47FDA" w:rsidRPr="003970D2" w:rsidRDefault="00B47FDA" w:rsidP="006B4DB7">
      <w:r w:rsidRPr="003970D2">
        <w:t>In der klassischen Forschung umfasst UO drei zentrale Dimensionen: Proaktivität, Innovativität und Risikobereitschaft. Diese gelten als universell, wurden aber für spezifische Kontexte erweitert.</w:t>
      </w:r>
    </w:p>
    <w:p w14:paraId="742E8D23" w14:textId="17EAC562" w:rsidR="00B47FDA" w:rsidRDefault="00B47FDA" w:rsidP="006B4DB7">
      <w:r w:rsidRPr="003970D2">
        <w:t xml:space="preserve">Für gemeinnützige Organisationen wie Sportverbände wurden zwei zusätzliche Dimensionen ergänzt: </w:t>
      </w:r>
      <w:proofErr w:type="spellStart"/>
      <w:r w:rsidRPr="003970D2">
        <w:t>Mitarbeitendenautonomie</w:t>
      </w:r>
      <w:proofErr w:type="spellEnd"/>
      <w:r w:rsidRPr="003970D2">
        <w:t xml:space="preserve"> und gemeinschaftliche Mobilisierung. Diese beiden bilden zusammen die vierte Hauptdimension: Aktivität.</w:t>
      </w:r>
    </w:p>
    <w:p w14:paraId="332AEF9B" w14:textId="77777777" w:rsidR="00B47FDA" w:rsidRDefault="00B47FDA" w:rsidP="006B4DB7">
      <w:pPr>
        <w:pStyle w:val="berschrift2"/>
        <w:sectPr w:rsidR="00B47FDA" w:rsidSect="000E064D">
          <w:headerReference w:type="default" r:id="rId13"/>
          <w:footerReference w:type="default" r:id="rId14"/>
          <w:type w:val="continuous"/>
          <w:pgSz w:w="11906" w:h="16838" w:code="9"/>
          <w:pgMar w:top="1843" w:right="1418" w:bottom="1134" w:left="1418" w:header="709" w:footer="709" w:gutter="0"/>
          <w:cols w:space="708"/>
          <w:docGrid w:linePitch="360"/>
        </w:sectPr>
      </w:pPr>
    </w:p>
    <w:p w14:paraId="38E96603" w14:textId="14AD740B" w:rsidR="00B47FDA" w:rsidRPr="003970D2" w:rsidRDefault="00B47FDA" w:rsidP="006B4DB7">
      <w:pPr>
        <w:pStyle w:val="berschrift2"/>
      </w:pPr>
      <w:r w:rsidRPr="003970D2">
        <w:t xml:space="preserve">Proaktivität </w:t>
      </w:r>
    </w:p>
    <w:p w14:paraId="6CFB42F3" w14:textId="75005C79" w:rsidR="00B47FDA" w:rsidRPr="003970D2" w:rsidRDefault="00B47FDA" w:rsidP="006B4DB7">
      <w:r w:rsidRPr="003970D2">
        <w:t>Proaktivität zeigt sich darin, dass Organisationen nicht nur auf Veränderungen reagieren, sondern aktiv vorausdenken. Sie erkennen frühzeitig Trends, planen strategisch und positionieren sich als Gestalter statt als Verwalter.</w:t>
      </w:r>
    </w:p>
    <w:p w14:paraId="7E445783" w14:textId="3F50D0C6" w:rsidR="00B47FDA" w:rsidRPr="003970D2" w:rsidRDefault="00B47FDA" w:rsidP="006B4DB7">
      <w:pPr>
        <w:pStyle w:val="berschrift2"/>
      </w:pPr>
      <w:r w:rsidRPr="003970D2">
        <w:t xml:space="preserve">Innovativität </w:t>
      </w:r>
    </w:p>
    <w:p w14:paraId="1EDE4AE2" w14:textId="3BF1F44F" w:rsidR="00B47FDA" w:rsidRPr="003970D2" w:rsidRDefault="00B47FDA" w:rsidP="006B4DB7">
      <w:r w:rsidRPr="003970D2">
        <w:t>Innovativität beschreibt die Fähigkeit, kreative Ideen zu entwickeln und umzusetzen. Organisationen mit hoher Innovationskraft fördern eine Kultur der Verbesserung, probieren Neues aus und lernen aus Rückschlägen.</w:t>
      </w:r>
    </w:p>
    <w:p w14:paraId="50EB712E" w14:textId="0746E863" w:rsidR="00B47FDA" w:rsidRPr="003970D2" w:rsidRDefault="00B47FDA" w:rsidP="006B4DB7">
      <w:pPr>
        <w:pStyle w:val="berschrift2"/>
      </w:pPr>
      <w:r w:rsidRPr="003970D2">
        <w:t xml:space="preserve">Risikobereitschaft </w:t>
      </w:r>
    </w:p>
    <w:p w14:paraId="7361CA93" w14:textId="42A77F4B" w:rsidR="00B47FDA" w:rsidRPr="003970D2" w:rsidRDefault="00B47FDA" w:rsidP="006B4DB7">
      <w:r w:rsidRPr="003970D2">
        <w:t>Risikobereitschaft bedeutet, dass Organisationen bereit sind, Unsicherheit zu akzeptieren, um Chancen zu nutzen. Sie treffen Entscheidungen auch bei unvollständiger Informationslage und kalkulieren Rückschläge als Lernchancen ein.</w:t>
      </w:r>
    </w:p>
    <w:p w14:paraId="09A55394" w14:textId="029518BD" w:rsidR="00B47FDA" w:rsidRPr="003970D2" w:rsidRDefault="00B47FDA" w:rsidP="006B4DB7">
      <w:pPr>
        <w:pStyle w:val="berschrift2"/>
      </w:pPr>
      <w:r>
        <w:br w:type="column"/>
      </w:r>
      <w:proofErr w:type="spellStart"/>
      <w:r w:rsidRPr="003970D2">
        <w:t>Mitarbeitendenautonomie</w:t>
      </w:r>
      <w:proofErr w:type="spellEnd"/>
      <w:r w:rsidRPr="003970D2">
        <w:t xml:space="preserve"> </w:t>
      </w:r>
    </w:p>
    <w:p w14:paraId="26841714" w14:textId="77777777" w:rsidR="00B47FDA" w:rsidRPr="003970D2" w:rsidRDefault="00B47FDA" w:rsidP="006B4DB7">
      <w:proofErr w:type="spellStart"/>
      <w:r w:rsidRPr="003970D2">
        <w:t>Mitarbeitendenautonomie</w:t>
      </w:r>
      <w:proofErr w:type="spellEnd"/>
      <w:r w:rsidRPr="003970D2">
        <w:t xml:space="preserve"> steht für die Fähigkeit, Verantwortung zu delegieren und Handlungsspielräume zu schaffen. Ehrenamtliche und Mitarbeitende sollen eigenständig agieren können, ohne durch starre Strukturen eingeschränkt zu werden.</w:t>
      </w:r>
    </w:p>
    <w:p w14:paraId="34762A97" w14:textId="77777777" w:rsidR="00B47FDA" w:rsidRPr="003970D2" w:rsidRDefault="00B47FDA" w:rsidP="006B4DB7">
      <w:pPr>
        <w:pStyle w:val="berschrift2"/>
      </w:pPr>
      <w:r w:rsidRPr="003970D2">
        <w:t xml:space="preserve">Gemeinschaftliche Mobilisierung </w:t>
      </w:r>
    </w:p>
    <w:p w14:paraId="344CB1E8" w14:textId="4AD813AF" w:rsidR="00B47FDA" w:rsidRPr="003970D2" w:rsidRDefault="00B47FDA" w:rsidP="006B4DB7">
      <w:r w:rsidRPr="003970D2">
        <w:t>Gemeinschaftliche Mobilisierung beschreibt die Fähigkeit, Menschen zu vereinen und gemeinsam zu motivieren. Eine starke Vision, geteilte Werte und partizipative Entscheidungsprozesse stärken die Identifikation mit der Organisation.</w:t>
      </w:r>
    </w:p>
    <w:p w14:paraId="1136E727" w14:textId="77777777" w:rsidR="00B47FDA" w:rsidRDefault="00B47FDA" w:rsidP="006B4DB7">
      <w:pPr>
        <w:pStyle w:val="berschrift1"/>
        <w:sectPr w:rsidR="00B47FDA" w:rsidSect="00B47FDA">
          <w:type w:val="continuous"/>
          <w:pgSz w:w="11906" w:h="16838" w:code="9"/>
          <w:pgMar w:top="1418" w:right="1418" w:bottom="1134" w:left="1418" w:header="709" w:footer="709" w:gutter="0"/>
          <w:cols w:num="2" w:space="708"/>
          <w:docGrid w:linePitch="360"/>
        </w:sectPr>
      </w:pPr>
    </w:p>
    <w:p w14:paraId="7D51DCF5" w14:textId="507B8B61" w:rsidR="00B47FDA" w:rsidRPr="003970D2" w:rsidRDefault="00B47FDA" w:rsidP="006B4DB7">
      <w:pPr>
        <w:pStyle w:val="berschrift1"/>
      </w:pPr>
      <w:r w:rsidRPr="003970D2">
        <w:lastRenderedPageBreak/>
        <w:t>Erfassung der Daten</w:t>
      </w:r>
      <w:r w:rsidR="000C0FD2">
        <w:t xml:space="preserve"> und Bewertung</w:t>
      </w:r>
      <w:r w:rsidRPr="003970D2">
        <w:t xml:space="preserve"> für die Verbandsförderung</w:t>
      </w:r>
      <w:r w:rsidR="000E2877">
        <w:t xml:space="preserve"> (</w:t>
      </w:r>
      <w:r w:rsidR="0062233E">
        <w:t>2027)</w:t>
      </w:r>
    </w:p>
    <w:p w14:paraId="1A390FB5" w14:textId="16D98C97" w:rsidR="0077606C" w:rsidRDefault="00B47FDA" w:rsidP="006B4DB7">
      <w:r w:rsidRPr="00B47FDA">
        <w:rPr>
          <w:noProof/>
        </w:rPr>
        <w:t xml:space="preserve">Die unternehmerische Orientierung wird mittels Selbstbeurteilung in fünf Bereichen auf einer Skala von 1 bis 5 bewertet und durch Beispiele aus der Verbandsarbeit ergänzt. Die Dimensionen </w:t>
      </w:r>
      <w:r w:rsidR="00692512">
        <w:rPr>
          <w:noProof/>
        </w:rPr>
        <w:t>Proaktivität, Innovati</w:t>
      </w:r>
      <w:r w:rsidR="00E03517">
        <w:rPr>
          <w:noProof/>
        </w:rPr>
        <w:t xml:space="preserve">vität und Risikobereitschaft werden zu «Zukunftsorientierung», die Dimensionen </w:t>
      </w:r>
      <w:r w:rsidRPr="00B47FDA">
        <w:rPr>
          <w:noProof/>
        </w:rPr>
        <w:t xml:space="preserve">Mitarbeitendenautonomie und Gemeinschaftliche Mobilisierung </w:t>
      </w:r>
      <w:r w:rsidR="00E03517">
        <w:rPr>
          <w:noProof/>
        </w:rPr>
        <w:t>zu</w:t>
      </w:r>
      <w:r w:rsidRPr="00B47FDA">
        <w:rPr>
          <w:noProof/>
        </w:rPr>
        <w:t xml:space="preserve"> </w:t>
      </w:r>
      <w:r w:rsidR="00F05545">
        <w:rPr>
          <w:noProof/>
        </w:rPr>
        <w:t>«Aktivierung»</w:t>
      </w:r>
      <w:r w:rsidRPr="00B47FDA">
        <w:rPr>
          <w:noProof/>
        </w:rPr>
        <w:t xml:space="preserve"> zusammengefasst. </w:t>
      </w:r>
      <w:r w:rsidR="0074705F">
        <w:rPr>
          <w:noProof/>
        </w:rPr>
        <w:t xml:space="preserve">Der Verbanssupport Leistungssport, Breitensport, Ethik und </w:t>
      </w:r>
      <w:r w:rsidR="00D65701">
        <w:rPr>
          <w:noProof/>
        </w:rPr>
        <w:t>der Bereich Verbandsführung</w:t>
      </w:r>
      <w:r w:rsidR="00B66C06">
        <w:rPr>
          <w:noProof/>
        </w:rPr>
        <w:t xml:space="preserve"> schätzen den Verband aus ihrer Erfahrung ebenfalls ein (Aussensicht)</w:t>
      </w:r>
      <w:r w:rsidR="00D65701">
        <w:rPr>
          <w:noProof/>
        </w:rPr>
        <w:t xml:space="preserve">. </w:t>
      </w:r>
      <w:r w:rsidR="00263370">
        <w:rPr>
          <w:noProof/>
        </w:rPr>
        <w:t>Mithilfe eines statistischen Verfahrens (</w:t>
      </w:r>
      <w:r w:rsidR="008D2D8E" w:rsidRPr="008D2D8E">
        <w:rPr>
          <w:noProof/>
        </w:rPr>
        <w:t>Bayesian Shrinkage</w:t>
      </w:r>
      <w:r w:rsidR="008D2D8E">
        <w:rPr>
          <w:noProof/>
        </w:rPr>
        <w:t>) werden Aussensicht und Selbsteinschätzung zu einem Gesamtwert verrechnet.</w:t>
      </w:r>
      <w:r w:rsidR="00491FF4">
        <w:rPr>
          <w:noProof/>
        </w:rPr>
        <w:t xml:space="preserve"> </w:t>
      </w:r>
    </w:p>
    <w:p w14:paraId="1B2833EB" w14:textId="19D48AAA" w:rsidR="0077606C" w:rsidRPr="003970D2" w:rsidRDefault="0077606C" w:rsidP="006B4DB7"/>
    <w:p w14:paraId="5D6CAABC" w14:textId="4BDD0834" w:rsidR="00095949" w:rsidRPr="0077606C" w:rsidRDefault="006B4DB7" w:rsidP="006B4DB7">
      <w:pPr>
        <w:pStyle w:val="berschrift1"/>
        <w:numPr>
          <w:ilvl w:val="0"/>
          <w:numId w:val="0"/>
        </w:numPr>
        <w:ind w:left="432" w:hanging="43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EDB9C2" wp14:editId="71677D40">
                <wp:simplePos x="0" y="0"/>
                <wp:positionH relativeFrom="margin">
                  <wp:align>left</wp:align>
                </wp:positionH>
                <wp:positionV relativeFrom="paragraph">
                  <wp:posOffset>17145</wp:posOffset>
                </wp:positionV>
                <wp:extent cx="5745480" cy="2138680"/>
                <wp:effectExtent l="0" t="0" r="26670" b="13970"/>
                <wp:wrapNone/>
                <wp:docPr id="161287952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45480" cy="2138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D8AEF11" w14:textId="77777777" w:rsidR="00831741" w:rsidRPr="006B4DB7" w:rsidRDefault="00831741" w:rsidP="006B4DB7">
                            <w:pPr>
                              <w:rPr>
                                <w:b/>
                                <w:bCs/>
                              </w:rPr>
                            </w:pPr>
                            <w:r w:rsidRPr="006B4DB7">
                              <w:rPr>
                                <w:b/>
                                <w:bCs/>
                              </w:rPr>
                              <w:t>Statistisches Verfahren</w:t>
                            </w:r>
                          </w:p>
                          <w:p w14:paraId="13E628DE" w14:textId="6119F462" w:rsidR="00831741" w:rsidRPr="000E064D" w:rsidRDefault="00831741" w:rsidP="006B4DB7">
                            <w:r w:rsidRPr="000E064D">
                              <w:t xml:space="preserve">Die vergebenen Punkte basieren auf einem gemeinsamen Wert, der sich aus Innen- und Aussensicht zusammensetzt. Das statistische Verfahren, das dafür anwendet wird, nennt sich </w:t>
                            </w:r>
                            <w:r w:rsidRPr="000E064D">
                              <w:rPr>
                                <w:b/>
                                <w:bCs/>
                              </w:rPr>
                              <w:t xml:space="preserve">Bayesian </w:t>
                            </w:r>
                            <w:proofErr w:type="spellStart"/>
                            <w:r w:rsidRPr="000E064D">
                              <w:rPr>
                                <w:b/>
                                <w:bCs/>
                              </w:rPr>
                              <w:t>Shrinkage</w:t>
                            </w:r>
                            <w:proofErr w:type="spellEnd"/>
                            <w:r w:rsidRPr="000E064D">
                              <w:t xml:space="preserve"> – eine Methode, die die Selbsteinschätzung des Verbandes mit der externen Vergleichsperspektive kombiniert. Die Selbsteinschätzung wird grundsätzlich nicht in Frage gestellt und bildet die Basis </w:t>
                            </w:r>
                            <w:r w:rsidR="006C76BF">
                              <w:t>der</w:t>
                            </w:r>
                            <w:r w:rsidRPr="000E064D">
                              <w:t xml:space="preserve"> Bewertung. Da die Innensicht jedoch keinen externen Referenzrahmen kennt, wird ihr Gewicht im Ergebnis abhängig von der Abweichung zur Aussensicht angepasst: Je stärker die Selbsteinschätzung abweicht, desto mehr fliesst die Aussensicht in die Einordnung ein. Die Aussensicht liefert keine Aussage über die Richtigkeit der Selbsteinschätzung, sondern dient ausschliesslich als Vergleichs- und Referenzrahmen, um die Ergebnisse konsistent über alle Verbände und Audits hinweg einzuordnen. Liegen Innen- und Aussensicht nahe beieinander, bleibt das Resultat praktisch unverändert bei der Selbsteinschätzung des Verbandes.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EDB9C2" id="Textfeld 2" o:spid="_x0000_s1027" type="#_x0000_t202" style="position:absolute;left:0;text-align:left;margin-left:0;margin-top:1.35pt;width:452.4pt;height:168.4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" fillcolor="white [3201]" strokeweight=".5pt">
                <v:textbox>
                  <w:txbxContent>
                    <w:p w14:paraId="6D8AEF11" w14:textId="77777777" w:rsidR="00831741" w:rsidRPr="006B4DB7" w:rsidRDefault="00831741" w:rsidP="006B4DB7">
                      <w:pPr>
                        <w:rPr>
                          <w:b/>
                          <w:bCs/>
                        </w:rPr>
                      </w:pPr>
                      <w:r w:rsidRPr="006B4DB7">
                        <w:rPr>
                          <w:b/>
                          <w:bCs/>
                        </w:rPr>
                        <w:t>Statistisches Verfahren</w:t>
                      </w:r>
                    </w:p>
                    <w:p w14:paraId="13E628DE" w14:textId="6119F462" w:rsidR="00831741" w:rsidRPr="000E064D" w:rsidRDefault="00831741" w:rsidP="006B4DB7">
                      <w:r w:rsidRPr="000E064D">
                        <w:t xml:space="preserve">Die vergebenen Punkte basieren auf einem gemeinsamen Wert, der sich aus Innen- und Aussensicht zusammensetzt. Das statistische Verfahren, das dafür anwendet wird, nennt sich </w:t>
                      </w:r>
                      <w:r w:rsidRPr="000E064D">
                        <w:rPr>
                          <w:b/>
                          <w:bCs/>
                        </w:rPr>
                        <w:t>Bayesian Shrinkage</w:t>
                      </w:r>
                      <w:r w:rsidRPr="000E064D">
                        <w:t xml:space="preserve"> – eine Methode, die die Selbsteinschätzung des Verbandes mit der externen Vergleichsperspektive kombiniert. Die Selbsteinschätzung wird grundsätzlich nicht in Frage gestellt und bildet die Basis </w:t>
                      </w:r>
                      <w:r w:rsidR="006C76BF">
                        <w:t>der</w:t>
                      </w:r>
                      <w:r w:rsidRPr="000E064D">
                        <w:t xml:space="preserve"> Bewertung. Da die Innensicht jedoch keinen externen Referenzrahmen kennt, wird ihr Gewicht im Ergebnis abhängig von der Abweichung zur Aussensicht angepasst: Je stärker die Selbsteinschätzung abweicht, desto mehr fliesst die Aussensicht in die Einordnung ein. Die Aussensicht liefert keine Aussage über die Richtigkeit der Selbsteinschätzung, sondern dient ausschliesslich als Vergleichs- und Referenzrahmen, um die Ergebnisse konsistent über alle Verbände und Audits hinweg einzuordnen. Liegen Innen- und Aussensicht nahe beieinander, bleibt das Resultat praktisch unverändert bei der Selbsteinschätzung des Verbandes.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095949" w:rsidRPr="0077606C" w:rsidSect="002D5E2D">
      <w:type w:val="continuous"/>
      <w:pgSz w:w="11906" w:h="16838" w:code="9"/>
      <w:pgMar w:top="2410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D56E7E" w14:textId="77777777" w:rsidR="000A7EED" w:rsidRDefault="000A7EED" w:rsidP="006B4DB7">
      <w:r>
        <w:separator/>
      </w:r>
    </w:p>
  </w:endnote>
  <w:endnote w:type="continuationSeparator" w:id="0">
    <w:p w14:paraId="726551AD" w14:textId="77777777" w:rsidR="000A7EED" w:rsidRDefault="000A7EED" w:rsidP="006B4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2C064" w14:textId="256E4051" w:rsidR="00B47FDA" w:rsidRPr="00074933" w:rsidRDefault="00B47FDA" w:rsidP="00074933">
    <w:pPr>
      <w:jc w:val="right"/>
      <w:rPr>
        <w:sz w:val="16"/>
        <w:szCs w:val="20"/>
      </w:rPr>
    </w:pPr>
    <w:r w:rsidRPr="00074933">
      <w:rPr>
        <w:sz w:val="16"/>
        <w:szCs w:val="20"/>
      </w:rPr>
      <w:t>Version:</w:t>
    </w:r>
    <w:r w:rsidR="00074933" w:rsidRPr="00074933">
      <w:rPr>
        <w:sz w:val="16"/>
        <w:szCs w:val="20"/>
      </w:rPr>
      <w:t xml:space="preserve"> Januar 2026</w:t>
    </w:r>
  </w:p>
  <w:p w14:paraId="0F0F594C" w14:textId="77777777" w:rsidR="00B47FDA" w:rsidRDefault="00B47FDA" w:rsidP="006B4DB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58CFC7" w14:textId="77777777" w:rsidR="000A7EED" w:rsidRDefault="000A7EED" w:rsidP="006B4DB7">
      <w:r>
        <w:separator/>
      </w:r>
    </w:p>
  </w:footnote>
  <w:footnote w:type="continuationSeparator" w:id="0">
    <w:p w14:paraId="0E83113D" w14:textId="77777777" w:rsidR="000A7EED" w:rsidRDefault="000A7EED" w:rsidP="006B4D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80D3B" w14:textId="77777777" w:rsidR="006F58D0" w:rsidRDefault="006F58D0" w:rsidP="006B4DB7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5C9352C" wp14:editId="2309C63B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683715167" name="Grafik 68371516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C659B"/>
    <w:multiLevelType w:val="multilevel"/>
    <w:tmpl w:val="46E657A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02"/>
        </w:tabs>
        <w:ind w:left="1002" w:hanging="576"/>
      </w:pPr>
      <w:rPr>
        <w:rFonts w:ascii="FagoPro" w:hAnsi="FagoPro" w:hint="default"/>
        <w:sz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109856FB"/>
    <w:multiLevelType w:val="multilevel"/>
    <w:tmpl w:val="28361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465D77"/>
    <w:multiLevelType w:val="hybridMultilevel"/>
    <w:tmpl w:val="F1B2C84E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8150D9"/>
    <w:multiLevelType w:val="multilevel"/>
    <w:tmpl w:val="A76A0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2A6473F"/>
    <w:multiLevelType w:val="multilevel"/>
    <w:tmpl w:val="2A52E91A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7743324">
    <w:abstractNumId w:val="4"/>
  </w:num>
  <w:num w:numId="2" w16cid:durableId="1740591242">
    <w:abstractNumId w:val="3"/>
  </w:num>
  <w:num w:numId="3" w16cid:durableId="312687839">
    <w:abstractNumId w:val="2"/>
  </w:num>
  <w:num w:numId="4" w16cid:durableId="1939439347">
    <w:abstractNumId w:val="1"/>
  </w:num>
  <w:num w:numId="5" w16cid:durableId="691343293">
    <w:abstractNumId w:val="0"/>
  </w:num>
  <w:num w:numId="6" w16cid:durableId="1993690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43589872">
    <w:abstractNumId w:val="5"/>
  </w:num>
  <w:num w:numId="8" w16cid:durableId="512720888">
    <w:abstractNumId w:val="8"/>
  </w:num>
  <w:num w:numId="9" w16cid:durableId="70637075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12314065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42368906">
    <w:abstractNumId w:val="1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78991070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50888937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56459296">
    <w:abstractNumId w:val="1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50628">
    <w:abstractNumId w:val="18"/>
  </w:num>
  <w:num w:numId="16" w16cid:durableId="321397374">
    <w:abstractNumId w:val="7"/>
  </w:num>
  <w:num w:numId="17" w16cid:durableId="2133665009">
    <w:abstractNumId w:val="10"/>
  </w:num>
  <w:num w:numId="18" w16cid:durableId="2010597771">
    <w:abstractNumId w:val="9"/>
  </w:num>
  <w:num w:numId="19" w16cid:durableId="816799999">
    <w:abstractNumId w:val="6"/>
  </w:num>
  <w:num w:numId="20" w16cid:durableId="24958345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isplayBackgroundShape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FDA"/>
    <w:rsid w:val="00051C89"/>
    <w:rsid w:val="000638A8"/>
    <w:rsid w:val="00074933"/>
    <w:rsid w:val="00083967"/>
    <w:rsid w:val="00083E93"/>
    <w:rsid w:val="0009055A"/>
    <w:rsid w:val="00091408"/>
    <w:rsid w:val="00095949"/>
    <w:rsid w:val="000A6032"/>
    <w:rsid w:val="000A6AEC"/>
    <w:rsid w:val="000A7EED"/>
    <w:rsid w:val="000C0FD2"/>
    <w:rsid w:val="000D5C73"/>
    <w:rsid w:val="000E064D"/>
    <w:rsid w:val="000E2877"/>
    <w:rsid w:val="000F3666"/>
    <w:rsid w:val="000F7F0B"/>
    <w:rsid w:val="00130FA6"/>
    <w:rsid w:val="0015714D"/>
    <w:rsid w:val="00186090"/>
    <w:rsid w:val="001A279A"/>
    <w:rsid w:val="001B3D6D"/>
    <w:rsid w:val="001B72C1"/>
    <w:rsid w:val="001C7109"/>
    <w:rsid w:val="001D2A2A"/>
    <w:rsid w:val="0021029D"/>
    <w:rsid w:val="00213616"/>
    <w:rsid w:val="00263370"/>
    <w:rsid w:val="00264ECE"/>
    <w:rsid w:val="00267FEA"/>
    <w:rsid w:val="002804F8"/>
    <w:rsid w:val="00281CB0"/>
    <w:rsid w:val="00294D7F"/>
    <w:rsid w:val="002B4C71"/>
    <w:rsid w:val="002C7872"/>
    <w:rsid w:val="002D0E87"/>
    <w:rsid w:val="002D5E2D"/>
    <w:rsid w:val="002E6255"/>
    <w:rsid w:val="002F269B"/>
    <w:rsid w:val="002F3C42"/>
    <w:rsid w:val="00315663"/>
    <w:rsid w:val="003362D5"/>
    <w:rsid w:val="00340CD9"/>
    <w:rsid w:val="0035216B"/>
    <w:rsid w:val="00352A27"/>
    <w:rsid w:val="003B39BA"/>
    <w:rsid w:val="003E0DF8"/>
    <w:rsid w:val="003F4515"/>
    <w:rsid w:val="004053B7"/>
    <w:rsid w:val="00420548"/>
    <w:rsid w:val="004232DD"/>
    <w:rsid w:val="0042594F"/>
    <w:rsid w:val="0046023A"/>
    <w:rsid w:val="00491451"/>
    <w:rsid w:val="00491FF4"/>
    <w:rsid w:val="004965F4"/>
    <w:rsid w:val="00497C60"/>
    <w:rsid w:val="004E4BB1"/>
    <w:rsid w:val="00500BB0"/>
    <w:rsid w:val="005125EB"/>
    <w:rsid w:val="005249CE"/>
    <w:rsid w:val="0053710B"/>
    <w:rsid w:val="005566E2"/>
    <w:rsid w:val="00580AE1"/>
    <w:rsid w:val="00581AD4"/>
    <w:rsid w:val="0058748C"/>
    <w:rsid w:val="00592226"/>
    <w:rsid w:val="005A560B"/>
    <w:rsid w:val="005B6D25"/>
    <w:rsid w:val="005D63BB"/>
    <w:rsid w:val="005E294A"/>
    <w:rsid w:val="005F33EA"/>
    <w:rsid w:val="00603449"/>
    <w:rsid w:val="006035A2"/>
    <w:rsid w:val="00605DA4"/>
    <w:rsid w:val="0062233E"/>
    <w:rsid w:val="00630364"/>
    <w:rsid w:val="00692512"/>
    <w:rsid w:val="006A24DF"/>
    <w:rsid w:val="006B2B2D"/>
    <w:rsid w:val="006B3EBF"/>
    <w:rsid w:val="006B4DB7"/>
    <w:rsid w:val="006C76BF"/>
    <w:rsid w:val="006C7EB5"/>
    <w:rsid w:val="006D421D"/>
    <w:rsid w:val="006E0132"/>
    <w:rsid w:val="006F58D0"/>
    <w:rsid w:val="00722669"/>
    <w:rsid w:val="0074705F"/>
    <w:rsid w:val="007473EE"/>
    <w:rsid w:val="0075291A"/>
    <w:rsid w:val="0077606C"/>
    <w:rsid w:val="0079636F"/>
    <w:rsid w:val="007A1879"/>
    <w:rsid w:val="007B2BB0"/>
    <w:rsid w:val="007C0DF1"/>
    <w:rsid w:val="007C7004"/>
    <w:rsid w:val="007E3441"/>
    <w:rsid w:val="0081600C"/>
    <w:rsid w:val="00831741"/>
    <w:rsid w:val="00865CEB"/>
    <w:rsid w:val="00874A1C"/>
    <w:rsid w:val="0088520C"/>
    <w:rsid w:val="0088740A"/>
    <w:rsid w:val="008947E5"/>
    <w:rsid w:val="008C541C"/>
    <w:rsid w:val="008D2D8E"/>
    <w:rsid w:val="008D576E"/>
    <w:rsid w:val="008D6A63"/>
    <w:rsid w:val="008E522B"/>
    <w:rsid w:val="0090487C"/>
    <w:rsid w:val="009200CD"/>
    <w:rsid w:val="00925E63"/>
    <w:rsid w:val="00930CA3"/>
    <w:rsid w:val="00931CB6"/>
    <w:rsid w:val="00936176"/>
    <w:rsid w:val="009375D8"/>
    <w:rsid w:val="0094071B"/>
    <w:rsid w:val="00965080"/>
    <w:rsid w:val="0097184C"/>
    <w:rsid w:val="009B5859"/>
    <w:rsid w:val="009D063E"/>
    <w:rsid w:val="009D50C6"/>
    <w:rsid w:val="009F6CBA"/>
    <w:rsid w:val="00A0654C"/>
    <w:rsid w:val="00A17E49"/>
    <w:rsid w:val="00A211EC"/>
    <w:rsid w:val="00A2443A"/>
    <w:rsid w:val="00A30534"/>
    <w:rsid w:val="00A9449C"/>
    <w:rsid w:val="00AD56BA"/>
    <w:rsid w:val="00B337E7"/>
    <w:rsid w:val="00B47FDA"/>
    <w:rsid w:val="00B66C06"/>
    <w:rsid w:val="00B71199"/>
    <w:rsid w:val="00B95369"/>
    <w:rsid w:val="00BC15FD"/>
    <w:rsid w:val="00BF1EC3"/>
    <w:rsid w:val="00BF2446"/>
    <w:rsid w:val="00C12EA1"/>
    <w:rsid w:val="00C211F9"/>
    <w:rsid w:val="00C475A8"/>
    <w:rsid w:val="00C72951"/>
    <w:rsid w:val="00C87E33"/>
    <w:rsid w:val="00CC74EC"/>
    <w:rsid w:val="00CD0293"/>
    <w:rsid w:val="00CD45AA"/>
    <w:rsid w:val="00CE5EBC"/>
    <w:rsid w:val="00CE6481"/>
    <w:rsid w:val="00CF382E"/>
    <w:rsid w:val="00D0288A"/>
    <w:rsid w:val="00D1207D"/>
    <w:rsid w:val="00D14C78"/>
    <w:rsid w:val="00D20BA1"/>
    <w:rsid w:val="00D263B7"/>
    <w:rsid w:val="00D30D55"/>
    <w:rsid w:val="00D519AC"/>
    <w:rsid w:val="00D65701"/>
    <w:rsid w:val="00D72F63"/>
    <w:rsid w:val="00D841DA"/>
    <w:rsid w:val="00DB2830"/>
    <w:rsid w:val="00DC3B7E"/>
    <w:rsid w:val="00DF1C2C"/>
    <w:rsid w:val="00DF5918"/>
    <w:rsid w:val="00E03517"/>
    <w:rsid w:val="00E221E2"/>
    <w:rsid w:val="00E24C44"/>
    <w:rsid w:val="00E366A7"/>
    <w:rsid w:val="00E430D6"/>
    <w:rsid w:val="00E509B1"/>
    <w:rsid w:val="00E569B6"/>
    <w:rsid w:val="00EC1CD8"/>
    <w:rsid w:val="00EC68E5"/>
    <w:rsid w:val="00ED0011"/>
    <w:rsid w:val="00EE4773"/>
    <w:rsid w:val="00F05545"/>
    <w:rsid w:val="00F06464"/>
    <w:rsid w:val="00F249FA"/>
    <w:rsid w:val="00F308F2"/>
    <w:rsid w:val="00F62F98"/>
    <w:rsid w:val="00F74BFC"/>
    <w:rsid w:val="00F77D2A"/>
    <w:rsid w:val="00F9054E"/>
    <w:rsid w:val="00FB10C9"/>
    <w:rsid w:val="00FF2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D21DD3A"/>
  <w15:docId w15:val="{4AC0257D-2648-48BC-A60E-F0CD162D7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B4DB7"/>
    <w:rPr>
      <w:rFonts w:asciiTheme="minorHAnsi" w:hAnsiTheme="minorHAnsi" w:cstheme="minorHAnsi"/>
      <w:sz w:val="22"/>
      <w:szCs w:val="28"/>
    </w:rPr>
  </w:style>
  <w:style w:type="paragraph" w:styleId="berschrift1">
    <w:name w:val="heading 1"/>
    <w:basedOn w:val="Standard"/>
    <w:next w:val="Standard"/>
    <w:link w:val="berschrift1Zchn"/>
    <w:qFormat/>
    <w:rsid w:val="00B47FDA"/>
    <w:pPr>
      <w:keepNext/>
      <w:numPr>
        <w:numId w:val="20"/>
      </w:numPr>
      <w:spacing w:before="240" w:after="60"/>
      <w:outlineLvl w:val="0"/>
    </w:pPr>
    <w:rPr>
      <w:rFonts w:ascii="Calibri" w:hAnsi="Calibri"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B47FDA"/>
    <w:pPr>
      <w:keepNext/>
      <w:numPr>
        <w:ilvl w:val="1"/>
        <w:numId w:val="20"/>
      </w:numPr>
      <w:spacing w:before="240" w:after="60"/>
      <w:outlineLvl w:val="1"/>
    </w:pPr>
    <w:rPr>
      <w:rFonts w:ascii="Fago Pro" w:hAnsi="Fago Pro" w:cs="Arial"/>
      <w:b/>
      <w:bCs/>
      <w:iCs/>
    </w:rPr>
  </w:style>
  <w:style w:type="paragraph" w:styleId="berschrift3">
    <w:name w:val="heading 3"/>
    <w:basedOn w:val="Standard"/>
    <w:next w:val="Standard"/>
    <w:link w:val="berschrift3Zchn"/>
    <w:qFormat/>
    <w:rsid w:val="00B47FDA"/>
    <w:pPr>
      <w:keepNext/>
      <w:numPr>
        <w:ilvl w:val="2"/>
        <w:numId w:val="20"/>
      </w:numPr>
      <w:spacing w:before="240" w:after="60"/>
      <w:outlineLvl w:val="2"/>
    </w:pPr>
    <w:rPr>
      <w:rFonts w:ascii="Fago Pro" w:hAnsi="Fago Pro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B47FDA"/>
    <w:pPr>
      <w:keepNext/>
      <w:numPr>
        <w:ilvl w:val="3"/>
        <w:numId w:val="20"/>
      </w:numPr>
      <w:spacing w:before="240" w:after="60"/>
      <w:outlineLvl w:val="3"/>
    </w:pPr>
    <w:rPr>
      <w:rFonts w:ascii="Fago Pro" w:hAnsi="Fago Pro"/>
      <w:bCs/>
    </w:rPr>
  </w:style>
  <w:style w:type="paragraph" w:styleId="berschrift5">
    <w:name w:val="heading 5"/>
    <w:basedOn w:val="Standard"/>
    <w:next w:val="Standard"/>
    <w:link w:val="berschrift5Zchn"/>
    <w:qFormat/>
    <w:rsid w:val="00B47FDA"/>
    <w:pPr>
      <w:numPr>
        <w:ilvl w:val="4"/>
        <w:numId w:val="20"/>
      </w:numPr>
      <w:spacing w:before="240" w:after="60"/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B47FDA"/>
    <w:pPr>
      <w:numPr>
        <w:ilvl w:val="5"/>
        <w:numId w:val="20"/>
      </w:numPr>
      <w:spacing w:before="240" w:after="60"/>
      <w:outlineLvl w:val="5"/>
    </w:pPr>
    <w:rPr>
      <w:rFonts w:ascii="Times New Roman" w:hAnsi="Times New Roman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qFormat/>
    <w:rsid w:val="00B47FDA"/>
    <w:pPr>
      <w:numPr>
        <w:ilvl w:val="6"/>
        <w:numId w:val="20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qFormat/>
    <w:rsid w:val="00B47FDA"/>
    <w:pPr>
      <w:numPr>
        <w:ilvl w:val="7"/>
        <w:numId w:val="20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qFormat/>
    <w:rsid w:val="00B47FDA"/>
    <w:pPr>
      <w:numPr>
        <w:ilvl w:val="8"/>
        <w:numId w:val="20"/>
      </w:numPr>
      <w:spacing w:before="240" w:after="60"/>
      <w:outlineLvl w:val="8"/>
    </w:pPr>
    <w:rPr>
      <w:rFonts w:ascii="Arial" w:hAnsi="Arial" w:cs="Arial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Cs w:val="22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7FDA"/>
    <w:rPr>
      <w:rFonts w:ascii="Calibri" w:hAnsi="Calibri" w:cs="Arial"/>
      <w:b/>
      <w:bCs/>
      <w:kern w:val="32"/>
      <w:sz w:val="24"/>
      <w:szCs w:val="32"/>
    </w:rPr>
  </w:style>
  <w:style w:type="character" w:customStyle="1" w:styleId="berschrift2Zchn">
    <w:name w:val="Überschrift 2 Zchn"/>
    <w:basedOn w:val="Absatz-Standardschriftart"/>
    <w:link w:val="berschrift2"/>
    <w:rsid w:val="00B47FDA"/>
    <w:rPr>
      <w:rFonts w:ascii="Fago Pro" w:hAnsi="Fago Pro" w:cs="Arial"/>
      <w:b/>
      <w:bCs/>
      <w:iCs/>
      <w:szCs w:val="28"/>
    </w:rPr>
  </w:style>
  <w:style w:type="character" w:customStyle="1" w:styleId="berschrift3Zchn">
    <w:name w:val="Überschrift 3 Zchn"/>
    <w:basedOn w:val="Absatz-Standardschriftart"/>
    <w:link w:val="berschrift3"/>
    <w:rsid w:val="00B47FDA"/>
    <w:rPr>
      <w:rFonts w:ascii="Fago Pro" w:hAnsi="Fago Pro" w:cs="Arial"/>
      <w:bCs/>
      <w:szCs w:val="26"/>
    </w:rPr>
  </w:style>
  <w:style w:type="character" w:customStyle="1" w:styleId="berschrift4Zchn">
    <w:name w:val="Überschrift 4 Zchn"/>
    <w:basedOn w:val="Absatz-Standardschriftart"/>
    <w:link w:val="berschrift4"/>
    <w:rsid w:val="00B47FDA"/>
    <w:rPr>
      <w:rFonts w:ascii="Fago Pro" w:hAnsi="Fago Pro"/>
      <w:bCs/>
      <w:szCs w:val="28"/>
    </w:rPr>
  </w:style>
  <w:style w:type="character" w:customStyle="1" w:styleId="berschrift5Zchn">
    <w:name w:val="Überschrift 5 Zchn"/>
    <w:basedOn w:val="Absatz-Standardschriftart"/>
    <w:link w:val="berschrift5"/>
    <w:rsid w:val="00B47FDA"/>
    <w:rPr>
      <w:rFonts w:asciiTheme="minorHAnsi" w:hAnsiTheme="minorHAnsi"/>
      <w:bCs/>
      <w:iCs/>
      <w:szCs w:val="26"/>
    </w:rPr>
  </w:style>
  <w:style w:type="character" w:customStyle="1" w:styleId="berschrift6Zchn">
    <w:name w:val="Überschrift 6 Zchn"/>
    <w:basedOn w:val="Absatz-Standardschriftart"/>
    <w:link w:val="berschrift6"/>
    <w:rsid w:val="00B47FDA"/>
    <w:rPr>
      <w:b/>
      <w:bCs/>
      <w:szCs w:val="22"/>
    </w:rPr>
  </w:style>
  <w:style w:type="character" w:customStyle="1" w:styleId="berschrift7Zchn">
    <w:name w:val="Überschrift 7 Zchn"/>
    <w:basedOn w:val="Absatz-Standardschriftart"/>
    <w:link w:val="berschrift7"/>
    <w:rsid w:val="00B47FDA"/>
    <w:rPr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rsid w:val="00B47FDA"/>
    <w:rPr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rsid w:val="00B47FDA"/>
    <w:rPr>
      <w:rFonts w:ascii="Arial" w:hAnsi="Arial" w:cs="Arial"/>
      <w:szCs w:val="22"/>
    </w:rPr>
  </w:style>
  <w:style w:type="paragraph" w:customStyle="1" w:styleId="Haupttitel">
    <w:name w:val="Haupttitel"/>
    <w:basedOn w:val="Kopfzeile"/>
    <w:rsid w:val="00B47FDA"/>
    <w:pPr>
      <w:tabs>
        <w:tab w:val="clear" w:pos="4536"/>
        <w:tab w:val="clear" w:pos="9072"/>
      </w:tabs>
      <w:spacing w:line="810" w:lineRule="exact"/>
    </w:pPr>
    <w:rPr>
      <w:rFonts w:ascii="Fago Pro" w:eastAsia="Times" w:hAnsi="Fago Pro"/>
      <w:b/>
      <w:sz w:val="40"/>
      <w:szCs w:val="20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47FD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B47FDA"/>
    <w:pPr>
      <w:spacing w:after="200"/>
    </w:pPr>
    <w:rPr>
      <w:rFonts w:eastAsiaTheme="minorEastAsia" w:cstheme="minorBidi"/>
      <w:szCs w:val="20"/>
      <w:lang w:val="en-US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47FDA"/>
    <w:rPr>
      <w:rFonts w:asciiTheme="minorHAnsi" w:eastAsiaTheme="minorEastAsia" w:hAnsiTheme="minorHAnsi" w:cstheme="minorBid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7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3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vmi.ch/de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vmi.ch/d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swissolympic.sharepoint.com/sites/AssetLibrary/Dokumentvorlagen/01_Swiss_Olympic_allgemein/01_Word_Vorlagen/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Reglement" ma:contentTypeID="0x010100D592282C3F228142957B68A77100737900F141A73367AB3F40B560E033AC7394CC" ma:contentTypeVersion="22" ma:contentTypeDescription="Ein neues Dokument erstellen." ma:contentTypeScope="" ma:versionID="82234a599cb3de83a98c667fd4f550ac">
  <xsd:schema xmlns:xsd="http://www.w3.org/2001/XMLSchema" xmlns:xs="http://www.w3.org/2001/XMLSchema" xmlns:p="http://schemas.microsoft.com/office/2006/metadata/properties" xmlns:ns2="9058db62-ce5e-4299-8231-031a1d685855" xmlns:ns3="c600742d-e91c-48d9-8a69-f7bd71ca694d" targetNamespace="http://schemas.microsoft.com/office/2006/metadata/properties" ma:root="true" ma:fieldsID="3886df370a8d8b6cde5fd2ce81c9cea2" ns2:_="" ns3:_="">
    <xsd:import namespace="9058db62-ce5e-4299-8231-031a1d685855"/>
    <xsd:import namespace="c600742d-e91c-48d9-8a69-f7bd71ca694d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2:TaxCatchAllLabel" minOccurs="0"/>
                <xsd:element ref="ns3:_dlc_DocId" minOccurs="0"/>
                <xsd:element ref="ns3:_dlc_DocIdUrl" minOccurs="0"/>
                <xsd:element ref="ns3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2:SharedWithDetails" minOccurs="0"/>
                <xsd:element ref="ns3:lcf76f155ced4ddcb4097134ff3c332f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58db62-ce5e-4299-8231-031a1d685855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taxonomy="true" ma:internalName="gbd5e47e263f490a86763bb6b0167a0a" ma:taxonomyFieldName="SOAKategorie" ma:displayName="SOA Kategorie" ma:readOnly="false" ma:fieldId="{0bd5e47e-263f-490a-8676-3bb6b0167a0a}" ma:taxonomyMulti="true" ma:sspId="75b9de59-ab2f-400c-94bf-386b782e413d" ma:termSetId="a7316039-ff41-4387-b2b3-af49aa62f0a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hidden="true" ma:list="{2d6299dd-d2a3-4245-904a-03d62af38a84}" ma:internalName="TaxCatchAll" ma:showField="CatchAllData" ma:web="9058db62-ce5e-4299-8231-031a1d6858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2d6299dd-d2a3-4245-904a-03d62af38a84}" ma:internalName="TaxCatchAllLabel" ma:readOnly="true" ma:showField="CatchAllDataLabel" ma:web="9058db62-ce5e-4299-8231-031a1d6858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2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00742d-e91c-48d9-8a69-f7bd71ca694d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3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6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600742d-e91c-48d9-8a69-f7bd71ca694d">
      <Terms xmlns="http://schemas.microsoft.com/office/infopath/2007/PartnerControls"/>
    </lcf76f155ced4ddcb4097134ff3c332f>
    <TaxCatchAll xmlns="9058db62-ce5e-4299-8231-031a1d685855" xsi:nil="true"/>
    <_dlc_DocId xmlns="c600742d-e91c-48d9-8a69-f7bd71ca694d" xsi:nil="true"/>
    <_dlc_DocIdPersistId xmlns="c600742d-e91c-48d9-8a69-f7bd71ca694d" xsi:nil="true"/>
    <gbd5e47e263f490a86763bb6b0167a0a xmlns="9058db62-ce5e-4299-8231-031a1d685855">
      <Terms xmlns="http://schemas.microsoft.com/office/infopath/2007/PartnerControls"/>
    </gbd5e47e263f490a86763bb6b0167a0a>
    <_dlc_DocIdUrl xmlns="c600742d-e91c-48d9-8a69-f7bd71ca694d">
      <Url xsi:nil="true"/>
      <Description xsi:nil="true"/>
    </_dlc_DocIdUrl>
  </documentManagement>
</p:properties>
</file>

<file path=customXml/itemProps1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962E1E-AFFE-4235-9FB5-E94443D8A2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58db62-ce5e-4299-8231-031a1d685855"/>
    <ds:schemaRef ds:uri="c600742d-e91c-48d9-8a69-f7bd71ca6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c600742d-e91c-48d9-8a69-f7bd71ca694d"/>
    <ds:schemaRef ds:uri="9058db62-ce5e-4299-8231-031a1d68585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2</Pages>
  <Words>426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Meier Rafael</dc:creator>
  <cp:lastModifiedBy>Meier Rafael</cp:lastModifiedBy>
  <cp:revision>33</cp:revision>
  <cp:lastPrinted>2018-03-06T14:11:00Z</cp:lastPrinted>
  <dcterms:created xsi:type="dcterms:W3CDTF">2025-11-03T14:27:00Z</dcterms:created>
  <dcterms:modified xsi:type="dcterms:W3CDTF">2026-01-19T11:46:00Z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0x010100D592282C3F228142957B68A77100737900F141A73367AB3F40B560E033AC7394CC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</Properties>
</file>